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ubtitle"/>
        <w:spacing w:lineRule="auto" w:line="276"/>
        <w:ind w:hanging="0" w:right="0"/>
        <w:rPr/>
      </w:pPr>
      <w:r>
        <w:rPr>
          <w:rFonts w:cs="Verdana" w:ascii="Verdana" w:hAnsi="Verdana"/>
          <w:b/>
          <w:bCs/>
          <w:szCs w:val="36"/>
        </w:rPr>
        <w:t>EDITAL</w:t>
      </w:r>
    </w:p>
    <w:p>
      <w:pPr>
        <w:pStyle w:val="Subtitle"/>
        <w:spacing w:lineRule="auto" w:line="276"/>
        <w:ind w:hanging="0" w:right="0"/>
        <w:rPr>
          <w:rFonts w:ascii="Verdana" w:hAnsi="Verdana" w:cs="Verdana"/>
          <w:b/>
          <w:bCs/>
          <w:szCs w:val="36"/>
          <w:lang w:val="pt-BR"/>
        </w:rPr>
      </w:pPr>
      <w:r>
        <w:rPr>
          <w:rFonts w:cs="Verdana" w:ascii="Verdana" w:hAnsi="Verdana"/>
          <w:b/>
          <w:bCs/>
          <w:szCs w:val="36"/>
        </w:rPr>
        <w:t xml:space="preserve">Pregão Presencial n.º </w:t>
      </w:r>
      <w:r>
        <w:rPr>
          <w:rFonts w:cs="Verdana" w:ascii="Verdana" w:hAnsi="Verdana"/>
          <w:b/>
          <w:bCs/>
          <w:szCs w:val="36"/>
          <w:lang w:val="pt-BR"/>
        </w:rPr>
        <w:t>001</w:t>
      </w:r>
      <w:r>
        <w:rPr>
          <w:rFonts w:cs="Verdana" w:ascii="Verdana" w:hAnsi="Verdana"/>
          <w:b/>
          <w:bCs/>
          <w:szCs w:val="36"/>
        </w:rPr>
        <w:t>/202</w:t>
      </w:r>
      <w:r>
        <w:rPr>
          <w:rFonts w:cs="Verdana" w:ascii="Verdana" w:hAnsi="Verdana"/>
          <w:b/>
          <w:bCs/>
          <w:szCs w:val="36"/>
          <w:lang w:val="pt-BR"/>
        </w:rPr>
        <w:t xml:space="preserve">5 </w:t>
      </w:r>
    </w:p>
    <w:p>
      <w:pPr>
        <w:pStyle w:val="Subtitle"/>
        <w:spacing w:lineRule="auto" w:line="276"/>
        <w:ind w:hanging="0" w:right="0"/>
        <w:rPr>
          <w:rFonts w:ascii="Verdana" w:hAnsi="Verdana" w:cs="Verdana"/>
          <w:b/>
          <w:bCs/>
          <w:sz w:val="20"/>
          <w:szCs w:val="20"/>
          <w:lang w:val="pt-BR"/>
        </w:rPr>
      </w:pPr>
      <w:r>
        <w:rPr>
          <w:rFonts w:cs="Verdana" w:ascii="Verdana" w:hAnsi="Verdana"/>
          <w:b/>
          <w:bCs/>
          <w:szCs w:val="36"/>
          <w:lang w:val="pt-BR"/>
        </w:rPr>
        <w:t>Processo Administrativo nº 8849/2024</w:t>
      </w:r>
    </w:p>
    <w:p>
      <w:pPr>
        <w:pStyle w:val="Subtitle"/>
        <w:spacing w:lineRule="auto" w:line="276"/>
        <w:ind w:hanging="0" w:right="0"/>
        <w:rPr>
          <w:rFonts w:ascii="Verdana" w:hAnsi="Verdana" w:cs="Verdana"/>
          <w:b/>
          <w:bCs/>
          <w:sz w:val="20"/>
          <w:szCs w:val="20"/>
          <w:lang w:val="pt-BR"/>
        </w:rPr>
      </w:pPr>
      <w:r>
        <w:rPr>
          <w:rFonts w:cs="Verdana" w:ascii="Verdana" w:hAnsi="Verdana"/>
          <w:b/>
          <w:bCs/>
          <w:sz w:val="20"/>
          <w:szCs w:val="20"/>
          <w:lang w:val="pt-BR"/>
        </w:rPr>
      </w:r>
    </w:p>
    <w:p>
      <w:pPr>
        <w:pStyle w:val="Normal"/>
        <w:spacing w:lineRule="auto" w:line="276"/>
        <w:jc w:val="both"/>
        <w:rPr/>
      </w:pPr>
      <w:r>
        <w:rPr>
          <w:rFonts w:eastAsia="Batang;바탕" w:cs="Verdana" w:ascii="Verdana" w:hAnsi="Verdana"/>
          <w:sz w:val="20"/>
          <w:szCs w:val="20"/>
        </w:rPr>
        <w:t xml:space="preserve">A PREFEITURA MUNICIPAL DE SÃO GABRIEL DA PALHA, com sede na Praça Vicente Glazar, nº 159 </w:t>
      </w:r>
      <w:r>
        <w:rPr>
          <w:rFonts w:cs="Verdana" w:ascii="Verdana" w:hAnsi="Verdana"/>
          <w:sz w:val="20"/>
          <w:szCs w:val="20"/>
        </w:rPr>
        <w:t>– Centro, São Gabriel da Palha – ES</w:t>
      </w:r>
      <w:r>
        <w:rPr>
          <w:rFonts w:eastAsia="Batang;바탕" w:cs="Verdana" w:ascii="Verdana" w:hAnsi="Verdana"/>
          <w:sz w:val="20"/>
          <w:szCs w:val="20"/>
        </w:rPr>
        <w:t xml:space="preserve">, por intermédio de seu Pregoeiro, designado conforme abaixo, de acordo com a Lei n.º 14.133/21, do Decreto Municipal nº 3.609/2023, TORNA PÚBLICO que fará realizar licitação, para registro de preços, nos termos deste edital a partir das </w:t>
      </w:r>
      <w:r>
        <w:rPr>
          <w:rFonts w:eastAsia="Batang;바탕" w:cs="Verdana" w:ascii="Verdana" w:hAnsi="Verdana"/>
          <w:b/>
          <w:bCs/>
          <w:sz w:val="20"/>
          <w:szCs w:val="20"/>
        </w:rPr>
        <w:t>13</w:t>
      </w:r>
      <w:r>
        <w:rPr>
          <w:rFonts w:eastAsia="Batang;바탕" w:cs="Verdana" w:ascii="Verdana" w:hAnsi="Verdana"/>
          <w:b/>
          <w:bCs/>
          <w:sz w:val="20"/>
          <w:szCs w:val="20"/>
        </w:rPr>
        <w:t xml:space="preserve"> h</w:t>
      </w:r>
      <w:r>
        <w:rPr>
          <w:rFonts w:eastAsia="Batang;바탕" w:cs="Verdana" w:ascii="Verdana" w:hAnsi="Verdana"/>
          <w:b/>
          <w:sz w:val="20"/>
          <w:szCs w:val="20"/>
        </w:rPr>
        <w:t xml:space="preserve"> (tre</w:t>
      </w:r>
      <w:r>
        <w:rPr>
          <w:rFonts w:eastAsia="Batang;바탕" w:cs="Verdana" w:ascii="Verdana" w:hAnsi="Verdana"/>
          <w:b/>
          <w:sz w:val="20"/>
          <w:szCs w:val="20"/>
        </w:rPr>
        <w:t>ze</w:t>
      </w:r>
      <w:r>
        <w:rPr>
          <w:rFonts w:eastAsia="Batang;바탕" w:cs="Verdana" w:ascii="Verdana" w:hAnsi="Verdana"/>
          <w:b/>
          <w:sz w:val="20"/>
          <w:szCs w:val="20"/>
        </w:rPr>
        <w:t xml:space="preserve"> horas) do dia </w:t>
      </w:r>
      <w:r>
        <w:rPr>
          <w:rFonts w:eastAsia="Batang;바탕" w:cs="Verdana" w:ascii="Verdana" w:hAnsi="Verdana"/>
          <w:b/>
          <w:sz w:val="20"/>
          <w:szCs w:val="20"/>
        </w:rPr>
        <w:t>25 de fevereiro</w:t>
      </w:r>
      <w:r>
        <w:rPr>
          <w:rFonts w:eastAsia="Batang;바탕" w:cs="Verdana" w:ascii="Verdana" w:hAnsi="Verdana"/>
          <w:b/>
          <w:sz w:val="20"/>
          <w:szCs w:val="20"/>
        </w:rPr>
        <w:t xml:space="preserve"> de 2025.</w:t>
      </w:r>
    </w:p>
    <w:p>
      <w:pPr>
        <w:pStyle w:val="Normal"/>
        <w:spacing w:lineRule="auto" w:line="276"/>
        <w:jc w:val="both"/>
        <w:rPr>
          <w:rFonts w:ascii="Verdana" w:hAnsi="Verdana" w:eastAsia="Batang;바탕" w:cs="Verdana"/>
          <w:b/>
          <w:sz w:val="20"/>
          <w:szCs w:val="20"/>
          <w:u w:val="single"/>
        </w:rPr>
      </w:pPr>
      <w:r>
        <w:rPr>
          <w:rFonts w:eastAsia="Batang;바탕" w:cs="Verdana" w:ascii="Verdana" w:hAnsi="Verdana"/>
          <w:b/>
          <w:sz w:val="20"/>
          <w:szCs w:val="20"/>
          <w:u w:val="single"/>
        </w:rPr>
      </w:r>
    </w:p>
    <w:p>
      <w:pPr>
        <w:pStyle w:val="Normal"/>
        <w:tabs>
          <w:tab w:val="clear" w:pos="709"/>
          <w:tab w:val="left" w:pos="0" w:leader="none"/>
          <w:tab w:val="left" w:pos="602" w:leader="none"/>
        </w:tabs>
        <w:spacing w:lineRule="auto" w:line="276"/>
        <w:jc w:val="both"/>
        <w:rPr>
          <w:rFonts w:ascii="Verdana" w:hAnsi="Verdana" w:eastAsia="Batang;바탕" w:cs="Verdana"/>
          <w:b/>
          <w:sz w:val="20"/>
          <w:szCs w:val="20"/>
          <w:u w:val="single"/>
        </w:rPr>
      </w:pPr>
      <w:r>
        <w:rPr>
          <w:rFonts w:eastAsia="Batang;바탕" w:cs="Verdana" w:ascii="Verdana" w:hAnsi="Verdana"/>
          <w:b/>
          <w:sz w:val="20"/>
          <w:szCs w:val="20"/>
          <w:u w:val="single"/>
        </w:rPr>
      </w:r>
    </w:p>
    <w:p>
      <w:pPr>
        <w:pStyle w:val="Normal"/>
        <w:tabs>
          <w:tab w:val="clear" w:pos="709"/>
          <w:tab w:val="left" w:pos="0" w:leader="none"/>
          <w:tab w:val="left" w:pos="602" w:leader="none"/>
        </w:tabs>
        <w:spacing w:lineRule="auto" w:line="276"/>
        <w:jc w:val="both"/>
        <w:rPr>
          <w:rFonts w:ascii="Verdana" w:hAnsi="Verdana" w:eastAsia="Batang;바탕" w:cs="Verdana"/>
          <w:b/>
          <w:sz w:val="20"/>
          <w:szCs w:val="20"/>
          <w:u w:val="single"/>
        </w:rPr>
      </w:pPr>
      <w:r>
        <w:rPr>
          <w:rFonts w:eastAsia="Times New Roman" w:cs="Verdana" w:ascii="Verdana" w:hAnsi="Verdana"/>
          <w:b/>
          <w:bCs/>
          <w:color w:val="000000"/>
          <w:kern w:val="0"/>
          <w:sz w:val="20"/>
          <w:szCs w:val="20"/>
          <w:lang w:eastAsia="pt-BR" w:bidi="ar-SA"/>
        </w:rPr>
        <w:t>INFORMAMOS AOS INTERESSADOS QUE AS SESSÕES SERÃO GRAVADAS, A PARTICIPAÇÃO NA SESSÃO, CONFIGURA AUTORIZAÇÃO EXPRESSA DE DIVULGAÇÃO DE SUA IMAGEM.</w:t>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ind w:right="-142"/>
        <w:jc w:val="center"/>
        <w:rPr>
          <w:rFonts w:ascii="Verdana" w:hAnsi="Verdana" w:eastAsia="Batang;바탕" w:cs="Verdana"/>
          <w:b/>
          <w:sz w:val="20"/>
          <w:szCs w:val="20"/>
          <w:u w:val="single"/>
        </w:rPr>
      </w:pPr>
      <w:r>
        <w:rPr>
          <w:rFonts w:eastAsia="Batang;바탕" w:cs="Verdana" w:ascii="Verdana" w:hAnsi="Verdana"/>
          <w:b/>
          <w:sz w:val="20"/>
          <w:szCs w:val="20"/>
          <w:u w:val="single"/>
        </w:rPr>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ind w:right="-142"/>
        <w:jc w:val="center"/>
        <w:rPr>
          <w:rFonts w:ascii="Verdana" w:hAnsi="Verdana" w:eastAsia="Batang;바탕" w:cs="Verdana"/>
          <w:b/>
          <w:sz w:val="20"/>
          <w:szCs w:val="20"/>
          <w:u w:val="single"/>
        </w:rPr>
      </w:pPr>
      <w:r>
        <w:rPr>
          <w:rFonts w:eastAsia="Batang;바탕" w:cs="Verdana" w:ascii="Verdana" w:hAnsi="Verdana"/>
          <w:b/>
          <w:sz w:val="20"/>
          <w:szCs w:val="20"/>
          <w:u w:val="single"/>
        </w:rPr>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ind w:right="-142"/>
        <w:rPr>
          <w:rFonts w:ascii="Verdana" w:hAnsi="Verdana" w:eastAsia="Batang;바탕" w:cs="Verdana"/>
          <w:b/>
          <w:bCs/>
          <w:sz w:val="20"/>
          <w:szCs w:val="20"/>
        </w:rPr>
      </w:pPr>
      <w:r>
        <w:rPr>
          <w:rFonts w:eastAsia="Batang;바탕" w:cs="Verdana" w:ascii="Verdana" w:hAnsi="Verdana"/>
          <w:b/>
          <w:sz w:val="20"/>
          <w:szCs w:val="20"/>
        </w:rPr>
        <w:t>I – DO OBJETO</w:t>
      </w:r>
    </w:p>
    <w:p>
      <w:pPr>
        <w:pStyle w:val="Default"/>
        <w:numPr>
          <w:ilvl w:val="1"/>
          <w:numId w:val="7"/>
        </w:numPr>
        <w:tabs>
          <w:tab w:val="clear" w:pos="709"/>
          <w:tab w:val="left" w:pos="426" w:leader="none"/>
        </w:tabs>
        <w:spacing w:lineRule="auto" w:line="276"/>
        <w:ind w:hanging="0" w:left="0" w:right="0"/>
        <w:jc w:val="both"/>
        <w:rPr>
          <w:rFonts w:ascii="Verdana" w:hAnsi="Verdana" w:eastAsia="Times New Roman" w:cs="Verdana"/>
          <w:kern w:val="0"/>
          <w:sz w:val="20"/>
          <w:szCs w:val="20"/>
          <w:lang w:eastAsia="pt-BR" w:bidi="ar-SA"/>
        </w:rPr>
      </w:pPr>
      <w:r>
        <w:rPr>
          <w:rFonts w:eastAsia="Batang;바탕" w:cs="Verdana" w:ascii="Verdana" w:hAnsi="Verdana"/>
          <w:sz w:val="20"/>
          <w:szCs w:val="20"/>
        </w:rPr>
        <w:t xml:space="preserve">O objeto da presente licitação é </w:t>
      </w:r>
      <w:r>
        <w:rPr>
          <w:rFonts w:eastAsia="Batang;바탕" w:cs="Verdana" w:ascii="Verdana" w:hAnsi="Verdana"/>
          <w:b/>
          <w:i/>
          <w:sz w:val="20"/>
          <w:szCs w:val="20"/>
        </w:rPr>
        <w:t>Constituição de Ata de Registro de Preços,</w:t>
      </w:r>
      <w:r>
        <w:rPr>
          <w:rFonts w:eastAsia="Batang;바탕" w:cs="Verdana" w:ascii="Verdana" w:hAnsi="Verdana"/>
          <w:sz w:val="20"/>
          <w:szCs w:val="20"/>
        </w:rPr>
        <w:t xml:space="preserve"> para futura e eventual </w:t>
      </w:r>
      <w:bookmarkStart w:id="0" w:name="_Hlk190090538"/>
      <w:r>
        <w:rPr>
          <w:rFonts w:eastAsia="Batang;바탕;Yu Gothic" w:cs="Arial" w:ascii="Verdana" w:hAnsi="Verdana"/>
          <w:iCs/>
          <w:sz w:val="20"/>
          <w:szCs w:val="20"/>
        </w:rPr>
        <w:t>aquisição de lanches e refeições, para eventos, reuniões, capacitações e treinamentos em serviço, para atendimento as necessidades administrativas da Prefeitura Municipal de São Gabriel da Palha e suas Unidades Administrativas e demais Secretarias, por um prazo de 12 (doze) meses</w:t>
      </w:r>
      <w:bookmarkEnd w:id="0"/>
      <w:r>
        <w:rPr>
          <w:rFonts w:eastAsia="Batang;바탕" w:cs="Verdana" w:ascii="Verdana" w:hAnsi="Verdana"/>
          <w:sz w:val="20"/>
          <w:szCs w:val="20"/>
        </w:rPr>
        <w:t>.</w:t>
      </w:r>
    </w:p>
    <w:p>
      <w:pPr>
        <w:pStyle w:val="Default"/>
        <w:numPr>
          <w:ilvl w:val="1"/>
          <w:numId w:val="7"/>
        </w:numPr>
        <w:tabs>
          <w:tab w:val="clear" w:pos="709"/>
          <w:tab w:val="left" w:pos="426" w:leader="none"/>
        </w:tabs>
        <w:suppressAutoHyphens w:val="false"/>
        <w:autoSpaceDE w:val="false"/>
        <w:spacing w:lineRule="auto" w:line="276"/>
        <w:ind w:hanging="0" w:left="0" w:right="0"/>
        <w:jc w:val="both"/>
        <w:rPr>
          <w:rFonts w:ascii="Verdana" w:hAnsi="Verdana" w:eastAsia="Batang;바탕" w:cs="Verdana"/>
          <w:bCs/>
          <w:kern w:val="0"/>
          <w:sz w:val="20"/>
          <w:szCs w:val="20"/>
          <w:lang w:eastAsia="pt-BR" w:bidi="ar-SA"/>
        </w:rPr>
      </w:pPr>
      <w:r>
        <w:rPr>
          <w:rFonts w:eastAsia="Times New Roman" w:cs="Verdana" w:ascii="Verdana" w:hAnsi="Verdana"/>
          <w:kern w:val="0"/>
          <w:sz w:val="20"/>
          <w:szCs w:val="20"/>
          <w:lang w:eastAsia="pt-BR" w:bidi="ar-SA"/>
        </w:rPr>
        <w:t>A licitação será dividida em itens, conforme tabela constante do Termo de Referência, facultando se ao licitante a participação em quantos itens forem de seu interesse.</w:t>
      </w:r>
    </w:p>
    <w:p>
      <w:pPr>
        <w:pStyle w:val="Normal"/>
        <w:tabs>
          <w:tab w:val="clear" w:pos="709"/>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76"/>
        <w:jc w:val="both"/>
        <w:rPr>
          <w:sz w:val="20"/>
          <w:szCs w:val="20"/>
        </w:rPr>
      </w:pPr>
      <w:r>
        <w:rPr>
          <w:rFonts w:eastAsia="Batang;바탕;Yu Gothic" w:cs="Arial" w:ascii="Verdana" w:hAnsi="Verdana"/>
          <w:b/>
          <w:bCs/>
          <w:sz w:val="20"/>
          <w:szCs w:val="20"/>
        </w:rPr>
        <w:t xml:space="preserve">a) </w:t>
      </w:r>
      <w:r>
        <w:rPr>
          <w:rFonts w:eastAsia="Batang;바탕;Yu Gothic" w:cs="Arial" w:ascii="Verdana" w:hAnsi="Verdana"/>
          <w:sz w:val="20"/>
          <w:szCs w:val="20"/>
        </w:rPr>
        <w:t>A licitação correspondente aos itens 01 a 04 não ocorrerão com exclusividade para microempresas ou empresas de pequeno porte, haja vista seus valores estarem acima do valor limite previsto no inciso I do artigo 48 da Lei Complementar 123/2006 consolidada, e o critério de julgamento desta licitação ser de o menor valor unitário.</w:t>
      </w:r>
    </w:p>
    <w:p>
      <w:pPr>
        <w:pStyle w:val="Default"/>
        <w:tabs>
          <w:tab w:val="clear" w:pos="709"/>
          <w:tab w:val="left" w:pos="426" w:leader="none"/>
        </w:tabs>
        <w:suppressAutoHyphens w:val="false"/>
        <w:autoSpaceDE w:val="false"/>
        <w:spacing w:lineRule="auto" w:line="276"/>
        <w:jc w:val="both"/>
        <w:rPr>
          <w:rFonts w:ascii="Verdana" w:hAnsi="Verdana" w:eastAsia="Batang;바탕" w:cs="Verdana"/>
          <w:bCs/>
          <w:kern w:val="0"/>
          <w:sz w:val="20"/>
          <w:szCs w:val="20"/>
          <w:lang w:eastAsia="pt-BR" w:bidi="ar-SA"/>
        </w:rPr>
      </w:pPr>
      <w:r>
        <w:rPr>
          <w:rFonts w:eastAsia="Batang;바탕;Yu Gothic" w:cs="Arial" w:ascii="Verdana" w:hAnsi="Verdana"/>
          <w:b/>
          <w:bCs/>
          <w:iCs/>
          <w:sz w:val="20"/>
          <w:szCs w:val="20"/>
        </w:rPr>
        <w:t xml:space="preserve">b) </w:t>
      </w:r>
      <w:r>
        <w:rPr>
          <w:rFonts w:eastAsia="Batang;바탕;Yu Gothic" w:cs="Arial" w:ascii="Verdana" w:hAnsi="Verdana"/>
          <w:iCs/>
          <w:sz w:val="20"/>
          <w:szCs w:val="20"/>
        </w:rPr>
        <w:t>Nos demais itens (05 a 08)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w:t>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ind w:right="-142"/>
        <w:rPr>
          <w:rFonts w:ascii="Verdana" w:hAnsi="Verdana" w:eastAsia="Batang;바탕" w:cs="Verdana"/>
          <w:bCs/>
          <w:kern w:val="0"/>
          <w:sz w:val="20"/>
          <w:szCs w:val="20"/>
          <w:lang w:eastAsia="pt-BR" w:bidi="ar-SA"/>
        </w:rPr>
      </w:pPr>
      <w:r>
        <w:rPr>
          <w:rFonts w:eastAsia="Batang;바탕" w:cs="Verdana" w:ascii="Verdana" w:hAnsi="Verdana"/>
          <w:bCs/>
          <w:kern w:val="0"/>
          <w:sz w:val="20"/>
          <w:szCs w:val="20"/>
          <w:lang w:eastAsia="pt-BR" w:bidi="ar-SA"/>
        </w:rPr>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ind w:right="-142"/>
        <w:rPr>
          <w:rFonts w:ascii="Verdana" w:hAnsi="Verdana" w:eastAsia="Batang;바탕" w:cs="Verdana"/>
          <w:b/>
          <w:sz w:val="20"/>
          <w:szCs w:val="20"/>
        </w:rPr>
      </w:pPr>
      <w:r>
        <w:rPr>
          <w:rFonts w:eastAsia="Batang;바탕" w:cs="Verdana" w:ascii="Verdana" w:hAnsi="Verdana"/>
          <w:b/>
          <w:sz w:val="20"/>
          <w:szCs w:val="20"/>
        </w:rPr>
        <w:t>II DO REGISTRO DE PREÇOS</w:t>
      </w:r>
    </w:p>
    <w:p>
      <w:pPr>
        <w:pStyle w:val="Default"/>
        <w:spacing w:lineRule="auto" w:line="276"/>
        <w:jc w:val="both"/>
        <w:rPr>
          <w:rFonts w:ascii="Verdana" w:hAnsi="Verdana" w:eastAsia="Batang;바탕" w:cs="Verdana"/>
          <w:bCs/>
          <w:kern w:val="0"/>
          <w:sz w:val="20"/>
          <w:szCs w:val="20"/>
          <w:lang w:eastAsia="pt-BR" w:bidi="ar-SA"/>
        </w:rPr>
      </w:pPr>
      <w:r>
        <w:rPr>
          <w:rFonts w:eastAsia="Batang;바탕" w:cs="Verdana" w:ascii="Verdana" w:hAnsi="Verdana"/>
          <w:b/>
          <w:sz w:val="20"/>
          <w:szCs w:val="20"/>
        </w:rPr>
        <w:t xml:space="preserve">2.1 </w:t>
      </w:r>
      <w:r>
        <w:rPr>
          <w:rFonts w:eastAsia="Times New Roman" w:cs="Verdana" w:ascii="Verdana" w:hAnsi="Verdana"/>
          <w:kern w:val="0"/>
          <w:sz w:val="20"/>
          <w:szCs w:val="20"/>
          <w:lang w:eastAsia="pt-BR" w:bidi="ar-SA"/>
        </w:rPr>
        <w:t>As regras referentes aos órgãos gerenciador e participantes, bem como a eventuais adesões são as que constam da minuta de Ata de Registro de Preços.</w:t>
      </w:r>
    </w:p>
    <w:p>
      <w:pPr>
        <w:pStyle w:val="Default"/>
        <w:spacing w:lineRule="auto" w:line="276"/>
        <w:jc w:val="both"/>
        <w:rPr>
          <w:rFonts w:ascii="Verdana" w:hAnsi="Verdana" w:eastAsia="Batang;바탕" w:cs="Verdana"/>
          <w:bCs/>
          <w:kern w:val="0"/>
          <w:sz w:val="20"/>
          <w:szCs w:val="20"/>
          <w:lang w:eastAsia="pt-BR" w:bidi="ar-SA"/>
        </w:rPr>
      </w:pPr>
      <w:r>
        <w:rPr>
          <w:rFonts w:eastAsia="Batang;바탕" w:cs="Verdana" w:ascii="Verdana" w:hAnsi="Verdana"/>
          <w:bCs/>
          <w:kern w:val="0"/>
          <w:sz w:val="20"/>
          <w:szCs w:val="20"/>
          <w:lang w:eastAsia="pt-BR" w:bidi="ar-SA"/>
        </w:rPr>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ind w:right="-142"/>
        <w:rPr>
          <w:rFonts w:ascii="Verdana" w:hAnsi="Verdana" w:eastAsia="Batang;바탕" w:cs="Verdana"/>
          <w:b/>
          <w:sz w:val="20"/>
          <w:szCs w:val="20"/>
        </w:rPr>
      </w:pPr>
      <w:r>
        <w:rPr>
          <w:rFonts w:eastAsia="Batang;바탕" w:cs="Verdana" w:ascii="Verdana" w:hAnsi="Verdana"/>
          <w:b/>
          <w:sz w:val="20"/>
          <w:szCs w:val="20"/>
        </w:rPr>
        <w:t>III – DAS CONDIÇÕES PRELIMINARES</w:t>
      </w:r>
    </w:p>
    <w:p>
      <w:pPr>
        <w:pStyle w:val="Default"/>
        <w:spacing w:lineRule="auto" w:line="276"/>
        <w:jc w:val="both"/>
        <w:rPr>
          <w:rFonts w:ascii="Verdana" w:hAnsi="Verdana" w:eastAsia="Times New Roman" w:cs="Verdana"/>
          <w:b/>
          <w:bCs/>
          <w:kern w:val="0"/>
          <w:sz w:val="20"/>
          <w:szCs w:val="20"/>
          <w:lang w:eastAsia="pt-BR" w:bidi="ar-SA"/>
        </w:rPr>
      </w:pPr>
      <w:r>
        <w:rPr>
          <w:rFonts w:eastAsia="Batang;바탕" w:cs="Verdana" w:ascii="Verdana" w:hAnsi="Verdana"/>
          <w:b/>
          <w:sz w:val="20"/>
          <w:szCs w:val="20"/>
        </w:rPr>
        <w:t>3.1</w:t>
      </w:r>
      <w:r>
        <w:rPr>
          <w:rFonts w:eastAsia="Batang;바탕" w:cs="Verdana" w:ascii="Verdana" w:hAnsi="Verdana"/>
          <w:bCs/>
          <w:sz w:val="20"/>
          <w:szCs w:val="20"/>
        </w:rPr>
        <w:t xml:space="preserve"> </w:t>
      </w:r>
      <w:r>
        <w:rPr>
          <w:rFonts w:eastAsia="Times New Roman" w:cs="Verdana" w:ascii="Verdana" w:hAnsi="Verdana"/>
          <w:kern w:val="0"/>
          <w:sz w:val="20"/>
          <w:szCs w:val="20"/>
          <w:lang w:eastAsia="pt-BR" w:bidi="ar-SA"/>
        </w:rPr>
        <w:t>Esta licitação será realizada com as condições estabelecidas neste Edital, e será regida pela Lei Federal nº 14.133/2021, e demais legislações pertinentes ao objeto.</w:t>
      </w:r>
    </w:p>
    <w:p>
      <w:pPr>
        <w:pStyle w:val="Default"/>
        <w:spacing w:lineRule="auto" w:line="276"/>
        <w:jc w:val="both"/>
        <w:rPr>
          <w:rFonts w:ascii="Verdana" w:hAnsi="Verdana" w:eastAsia="Times New Roman" w:cs="Verdana"/>
          <w:b/>
          <w:bCs/>
          <w:kern w:val="0"/>
          <w:sz w:val="20"/>
          <w:szCs w:val="20"/>
          <w:lang w:eastAsia="pt-BR" w:bidi="ar-SA"/>
        </w:rPr>
      </w:pPr>
      <w:r>
        <w:rPr>
          <w:rFonts w:eastAsia="Times New Roman" w:cs="Verdana" w:ascii="Verdana" w:hAnsi="Verdana"/>
          <w:b/>
          <w:bCs/>
          <w:kern w:val="0"/>
          <w:sz w:val="20"/>
          <w:szCs w:val="20"/>
          <w:lang w:eastAsia="pt-BR" w:bidi="ar-SA"/>
        </w:rPr>
        <w:t xml:space="preserve">3.2 </w:t>
      </w:r>
      <w:r>
        <w:rPr>
          <w:rFonts w:eastAsia="Times New Roman" w:cs="Verdana" w:ascii="Verdana" w:hAnsi="Verdana"/>
          <w:kern w:val="0"/>
          <w:sz w:val="20"/>
          <w:szCs w:val="20"/>
          <w:lang w:eastAsia="pt-BR" w:bidi="ar-SA"/>
        </w:rPr>
        <w:t>A justificativa para a utilização da forma presencial no presente Pregão, se encontra no Anexo V – Termo de Referência, deste edital.</w:t>
      </w:r>
    </w:p>
    <w:p>
      <w:pPr>
        <w:pStyle w:val="Default"/>
        <w:spacing w:lineRule="auto" w:line="276"/>
        <w:jc w:val="both"/>
        <w:rPr>
          <w:rFonts w:ascii="Verdana" w:hAnsi="Verdana" w:eastAsia="Times New Roman" w:cs="Verdana"/>
          <w:b/>
          <w:bCs/>
          <w:kern w:val="0"/>
          <w:sz w:val="20"/>
          <w:szCs w:val="20"/>
          <w:lang w:eastAsia="pt-BR" w:bidi="ar-SA"/>
        </w:rPr>
      </w:pPr>
      <w:r>
        <w:rPr>
          <w:rFonts w:eastAsia="Times New Roman" w:cs="Verdana" w:ascii="Verdana" w:hAnsi="Verdana"/>
          <w:b/>
          <w:bCs/>
          <w:kern w:val="0"/>
          <w:sz w:val="20"/>
          <w:szCs w:val="20"/>
          <w:lang w:eastAsia="pt-BR" w:bidi="ar-SA"/>
        </w:rPr>
        <w:t xml:space="preserve">3.3 </w:t>
      </w:r>
      <w:r>
        <w:rPr>
          <w:rFonts w:eastAsia="Times New Roman" w:cs="Verdana" w:ascii="Verdana" w:hAnsi="Verdana"/>
          <w:kern w:val="0"/>
          <w:sz w:val="20"/>
          <w:szCs w:val="20"/>
          <w:lang w:eastAsia="pt-BR" w:bidi="ar-SA"/>
        </w:rPr>
        <w:t xml:space="preserve">A Lei n.º 14.133/2021 também prevê, no parágrafo segundo do artigo 17 que as licitações serão realizadas preferencialmente sob a forma eletrônica, </w:t>
      </w:r>
      <w:r>
        <w:rPr>
          <w:rFonts w:eastAsia="Times New Roman" w:cs="Verdana" w:ascii="Verdana" w:hAnsi="Verdana"/>
          <w:b/>
          <w:bCs/>
          <w:kern w:val="0"/>
          <w:sz w:val="20"/>
          <w:szCs w:val="20"/>
          <w:u w:val="single"/>
          <w:lang w:eastAsia="pt-BR" w:bidi="ar-SA"/>
        </w:rPr>
        <w:t>admitida a utilização da forma presencial desde que motivada, devendo a sessão pública ser registrada em ata e gravada em áudio e vídeo.</w:t>
      </w:r>
    </w:p>
    <w:p>
      <w:pPr>
        <w:pStyle w:val="Normal"/>
        <w:suppressAutoHyphens w:val="false"/>
        <w:autoSpaceDE w:val="false"/>
        <w:spacing w:lineRule="auto" w:line="276"/>
        <w:jc w:val="both"/>
        <w:rPr>
          <w:rFonts w:ascii="Verdana" w:hAnsi="Verdana" w:eastAsia="Times New Roman" w:cs="Verdana"/>
          <w:b/>
          <w:bCs/>
          <w:kern w:val="0"/>
          <w:sz w:val="20"/>
          <w:szCs w:val="20"/>
          <w:lang w:eastAsia="pt-BR" w:bidi="ar-SA"/>
        </w:rPr>
      </w:pPr>
      <w:r>
        <w:rPr>
          <w:rFonts w:eastAsia="Times New Roman" w:cs="Verdana" w:ascii="Verdana" w:hAnsi="Verdana"/>
          <w:b/>
          <w:bCs/>
          <w:color w:val="000000"/>
          <w:kern w:val="0"/>
          <w:sz w:val="20"/>
          <w:szCs w:val="20"/>
          <w:lang w:eastAsia="pt-BR" w:bidi="ar-SA"/>
        </w:rPr>
        <w:t>3.4</w:t>
      </w:r>
      <w:r>
        <w:rPr>
          <w:rFonts w:eastAsia="Times New Roman" w:cs="Verdana" w:ascii="Verdana" w:hAnsi="Verdana"/>
          <w:color w:val="000000"/>
          <w:kern w:val="0"/>
          <w:sz w:val="20"/>
          <w:szCs w:val="20"/>
          <w:lang w:eastAsia="pt-BR" w:bidi="ar-SA"/>
        </w:rPr>
        <w:t xml:space="preserve"> Os envelopes de proposta e documentação deverão ser entregues </w:t>
      </w:r>
      <w:r>
        <w:rPr>
          <w:rFonts w:eastAsia="Batang;바탕" w:cs="Verdana" w:ascii="Verdana" w:hAnsi="Verdana"/>
          <w:b/>
          <w:color w:val="000000"/>
          <w:kern w:val="0"/>
          <w:sz w:val="20"/>
          <w:szCs w:val="20"/>
          <w:lang w:eastAsia="pt-BR" w:bidi="ar-SA"/>
        </w:rPr>
        <w:t>no Protocolo Geral desta Prefeitura Municipal,</w:t>
      </w:r>
      <w:r>
        <w:rPr>
          <w:rFonts w:eastAsia="Batang;바탕" w:cs="Verdana" w:ascii="Verdana" w:hAnsi="Verdana"/>
          <w:color w:val="000000"/>
          <w:kern w:val="0"/>
          <w:sz w:val="20"/>
          <w:szCs w:val="20"/>
          <w:lang w:eastAsia="pt-BR" w:bidi="ar-SA"/>
        </w:rPr>
        <w:t xml:space="preserve"> localizado no prédio da Prefeitura, </w:t>
      </w:r>
      <w:r>
        <w:rPr>
          <w:rFonts w:eastAsia="Times New Roman" w:cs="Verdana" w:ascii="Verdana" w:hAnsi="Verdana"/>
          <w:color w:val="000000"/>
          <w:kern w:val="0"/>
          <w:sz w:val="20"/>
          <w:szCs w:val="20"/>
          <w:lang w:eastAsia="pt-BR" w:bidi="ar-SA"/>
        </w:rPr>
        <w:t>situado à Praça Vicente Glazar nº 159, Centro, São Gabriel da Palha, ES.</w:t>
      </w:r>
      <w:r>
        <w:rPr>
          <w:rFonts w:eastAsia="Times New Roman" w:cs="Verdana" w:ascii="Verdana" w:hAnsi="Verdana"/>
          <w:kern w:val="0"/>
          <w:sz w:val="20"/>
          <w:szCs w:val="20"/>
          <w:lang w:eastAsia="pt-BR" w:bidi="ar-SA"/>
        </w:rPr>
        <w:t xml:space="preserve"> O Credenciamento será feito na própria sessão de abertura. </w:t>
      </w:r>
    </w:p>
    <w:p>
      <w:pPr>
        <w:pStyle w:val="Normal"/>
        <w:suppressAutoHyphens w:val="false"/>
        <w:autoSpaceDE w:val="false"/>
        <w:spacing w:lineRule="auto" w:line="276"/>
        <w:jc w:val="both"/>
        <w:rPr>
          <w:rFonts w:ascii="Verdana" w:hAnsi="Verdana" w:eastAsia="Times New Roman" w:cs="Verdana"/>
          <w:b/>
          <w:bCs/>
          <w:kern w:val="0"/>
          <w:sz w:val="20"/>
          <w:szCs w:val="20"/>
          <w:lang w:eastAsia="pt-BR" w:bidi="ar-SA"/>
        </w:rPr>
      </w:pPr>
      <w:r>
        <w:rPr>
          <w:rFonts w:eastAsia="Times New Roman" w:cs="Verdana" w:ascii="Verdana" w:hAnsi="Verdana"/>
          <w:b/>
          <w:bCs/>
          <w:kern w:val="0"/>
          <w:sz w:val="20"/>
          <w:szCs w:val="20"/>
          <w:lang w:eastAsia="pt-BR" w:bidi="ar-SA"/>
        </w:rPr>
        <w:t xml:space="preserve">3.5. </w:t>
      </w:r>
      <w:r>
        <w:rPr>
          <w:rFonts w:eastAsia="Times New Roman" w:cs="Verdana" w:ascii="Verdana" w:hAnsi="Verdana"/>
          <w:kern w:val="0"/>
          <w:sz w:val="20"/>
          <w:szCs w:val="20"/>
          <w:lang w:eastAsia="pt-BR" w:bidi="ar-SA"/>
        </w:rPr>
        <w:t xml:space="preserve">O Edital encontra-se à disposição dos interessados para consulta e estudo junto ao Setor – Divisão de Licitação deste Município, durante o prazo de divulgação da Licitação até o recebimento dos envelopes. As planilhas de proposta e credenciamento, de caráter não obrigatório, poderão ser enviadas por “e-mail” ou disponibilizados para retirada dos licitantes interessados em “CD” ou “Pen drive” no endereço acima estipulado. </w:t>
      </w:r>
    </w:p>
    <w:p>
      <w:pPr>
        <w:pStyle w:val="Normal"/>
        <w:suppressAutoHyphens w:val="false"/>
        <w:autoSpaceDE w:val="false"/>
        <w:spacing w:lineRule="auto" w:line="276"/>
        <w:jc w:val="both"/>
        <w:rPr>
          <w:rFonts w:ascii="Verdana" w:hAnsi="Verdana" w:eastAsia="Times New Roman" w:cs="Verdana"/>
          <w:b/>
          <w:bCs/>
          <w:kern w:val="0"/>
          <w:sz w:val="20"/>
          <w:szCs w:val="20"/>
          <w:lang w:eastAsia="pt-BR" w:bidi="ar-SA"/>
        </w:rPr>
      </w:pPr>
      <w:r>
        <w:rPr>
          <w:rFonts w:eastAsia="Times New Roman" w:cs="Verdana" w:ascii="Verdana" w:hAnsi="Verdana"/>
          <w:b/>
          <w:bCs/>
          <w:kern w:val="0"/>
          <w:sz w:val="20"/>
          <w:szCs w:val="20"/>
          <w:lang w:eastAsia="pt-BR" w:bidi="ar-SA"/>
        </w:rPr>
        <w:t xml:space="preserve">3.6. </w:t>
      </w:r>
      <w:r>
        <w:rPr>
          <w:rFonts w:eastAsia="Times New Roman" w:cs="Verdana" w:ascii="Verdana" w:hAnsi="Verdana"/>
          <w:kern w:val="0"/>
          <w:sz w:val="20"/>
          <w:szCs w:val="20"/>
          <w:lang w:eastAsia="pt-BR" w:bidi="ar-SA"/>
        </w:rPr>
        <w:t xml:space="preserve">As empresas interessadas em participar do certame poderão obter o Edital pelo site www.saogabriel.es.gov.br dúvidas poderão ser informadas através do e-mail: </w:t>
      </w:r>
      <w:r>
        <w:rPr>
          <w:rFonts w:eastAsia="Times New Roman" w:cs="Verdana" w:ascii="Verdana" w:hAnsi="Verdana"/>
          <w:color w:val="0000FF"/>
          <w:kern w:val="0"/>
          <w:sz w:val="20"/>
          <w:szCs w:val="20"/>
          <w:lang w:eastAsia="pt-BR" w:bidi="ar-SA"/>
        </w:rPr>
        <w:t>licitação@</w:t>
      </w:r>
      <w:r>
        <w:rPr>
          <w:rFonts w:eastAsia="Times New Roman" w:cs="Verdana" w:ascii="Verdana" w:hAnsi="Verdana"/>
          <w:kern w:val="0"/>
          <w:sz w:val="20"/>
          <w:szCs w:val="20"/>
          <w:lang w:eastAsia="pt-BR" w:bidi="ar-SA"/>
        </w:rPr>
        <w:t>saogabriel.es.gov.br.</w:t>
      </w:r>
    </w:p>
    <w:p>
      <w:pPr>
        <w:pStyle w:val="Normal"/>
        <w:suppressAutoHyphens w:val="false"/>
        <w:autoSpaceDE w:val="false"/>
        <w:spacing w:lineRule="auto" w:line="276"/>
        <w:jc w:val="both"/>
        <w:rPr>
          <w:rFonts w:ascii="Verdana" w:hAnsi="Verdana" w:eastAsia="Times New Roman" w:cs="Verdana"/>
          <w:b/>
          <w:bCs/>
          <w:kern w:val="0"/>
          <w:sz w:val="20"/>
          <w:szCs w:val="20"/>
          <w:lang w:eastAsia="pt-BR" w:bidi="ar-SA"/>
        </w:rPr>
      </w:pPr>
      <w:r>
        <w:rPr>
          <w:rFonts w:eastAsia="Times New Roman" w:cs="Verdana" w:ascii="Verdana" w:hAnsi="Verdana"/>
          <w:b/>
          <w:bCs/>
          <w:kern w:val="0"/>
          <w:sz w:val="20"/>
          <w:szCs w:val="20"/>
          <w:lang w:eastAsia="pt-BR" w:bidi="ar-SA"/>
        </w:rPr>
        <w:t xml:space="preserve">3.7. </w:t>
      </w:r>
      <w:r>
        <w:rPr>
          <w:rFonts w:eastAsia="Times New Roman" w:cs="Verdana" w:ascii="Verdana" w:hAnsi="Verdana"/>
          <w:kern w:val="0"/>
          <w:sz w:val="20"/>
          <w:szCs w:val="20"/>
          <w:lang w:eastAsia="pt-BR" w:bidi="ar-SA"/>
        </w:rPr>
        <w:t xml:space="preserve">O presente Edital se submete integralmente ao disposto nos Artigos 42, 43, 44, 45 e 46 da Lei Complementar n.º 123, de 14 de dezembro de 2006, assegurando o direito de prioridade para a Microempresa e Empresa de Pequeno Porte, no critério do desempate, quando verificado ao final da disputa de preços, na forma do art. 60º, § 2º, da Lei nº 14.133, de 1º de abril de2021. </w:t>
      </w:r>
    </w:p>
    <w:p>
      <w:pPr>
        <w:pStyle w:val="Normal"/>
        <w:suppressAutoHyphens w:val="false"/>
        <w:autoSpaceDE w:val="false"/>
        <w:spacing w:lineRule="auto" w:line="276"/>
        <w:jc w:val="both"/>
        <w:rPr>
          <w:rFonts w:ascii="Verdana" w:hAnsi="Verdana" w:eastAsia="Batang;바탕" w:cs="Verdana"/>
          <w:b/>
          <w:sz w:val="20"/>
          <w:szCs w:val="20"/>
        </w:rPr>
      </w:pPr>
      <w:r>
        <w:rPr>
          <w:rFonts w:eastAsia="Times New Roman" w:cs="Verdana" w:ascii="Verdana" w:hAnsi="Verdana"/>
          <w:b/>
          <w:bCs/>
          <w:kern w:val="0"/>
          <w:sz w:val="20"/>
          <w:szCs w:val="20"/>
          <w:lang w:eastAsia="pt-BR" w:bidi="ar-SA"/>
        </w:rPr>
        <w:t xml:space="preserve">3.8. </w:t>
      </w:r>
      <w:r>
        <w:rPr>
          <w:rFonts w:eastAsia="Times New Roman" w:cs="Verdana" w:ascii="Verdana" w:hAnsi="Verdana"/>
          <w:kern w:val="0"/>
          <w:sz w:val="20"/>
          <w:szCs w:val="20"/>
          <w:lang w:eastAsia="pt-BR" w:bidi="ar-SA"/>
        </w:rPr>
        <w:t>Será concedida vistas de toda a documentação apresentada, de maneira individual, para cada um dos licitantes.</w:t>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ind w:right="-142"/>
        <w:jc w:val="both"/>
        <w:rPr>
          <w:rFonts w:ascii="Verdana" w:hAnsi="Verdana" w:eastAsia="Batang;바탕" w:cs="Verdana"/>
          <w:b/>
          <w:sz w:val="20"/>
          <w:szCs w:val="20"/>
        </w:rPr>
      </w:pPr>
      <w:r>
        <w:rPr>
          <w:rFonts w:eastAsia="Batang;바탕" w:cs="Verdana" w:ascii="Verdana" w:hAnsi="Verdana"/>
          <w:b/>
          <w:sz w:val="20"/>
          <w:szCs w:val="20"/>
        </w:rPr>
        <w:t xml:space="preserve">3.9 – </w:t>
      </w:r>
      <w:r>
        <w:rPr>
          <w:rFonts w:eastAsia="Batang;바탕" w:cs="Verdana" w:ascii="Verdana" w:hAnsi="Verdana"/>
          <w:sz w:val="20"/>
          <w:szCs w:val="20"/>
        </w:rPr>
        <w:t>A presente licitação tem como fundamento a legislação acima bem como os seguintes preceitos:</w:t>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ind w:right="-142"/>
        <w:jc w:val="both"/>
        <w:rPr>
          <w:rFonts w:ascii="Verdana" w:hAnsi="Verdana" w:eastAsia="Batang;바탕" w:cs="Verdana"/>
          <w:b/>
          <w:sz w:val="20"/>
          <w:szCs w:val="20"/>
        </w:rPr>
      </w:pPr>
      <w:r>
        <w:rPr>
          <w:rFonts w:eastAsia="Batang;바탕" w:cs="Verdana" w:ascii="Verdana" w:hAnsi="Verdana"/>
          <w:b/>
          <w:sz w:val="20"/>
          <w:szCs w:val="20"/>
        </w:rPr>
        <w:t xml:space="preserve">a) </w:t>
      </w:r>
      <w:r>
        <w:rPr>
          <w:rFonts w:eastAsia="Batang;바탕" w:cs="Verdana" w:ascii="Verdana" w:hAnsi="Verdana"/>
          <w:sz w:val="20"/>
          <w:szCs w:val="20"/>
        </w:rPr>
        <w:t xml:space="preserve">Processo Administrativo </w:t>
      </w:r>
      <w:r>
        <w:rPr>
          <w:rFonts w:eastAsia="Batang;바탕" w:cs="Verdana" w:ascii="Verdana" w:hAnsi="Verdana"/>
          <w:b/>
          <w:sz w:val="20"/>
          <w:szCs w:val="20"/>
        </w:rPr>
        <w:t>nº 8849/2024 de 12/12/2024.</w:t>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ind w:right="-142"/>
        <w:jc w:val="both"/>
        <w:rPr>
          <w:rFonts w:ascii="Verdana" w:hAnsi="Verdana" w:eastAsia="Batang;바탕" w:cs="Verdana"/>
          <w:b/>
          <w:sz w:val="20"/>
          <w:szCs w:val="20"/>
        </w:rPr>
      </w:pPr>
      <w:r>
        <w:rPr>
          <w:rFonts w:eastAsia="Batang;바탕" w:cs="Verdana" w:ascii="Verdana" w:hAnsi="Verdana"/>
          <w:b/>
          <w:sz w:val="20"/>
          <w:szCs w:val="20"/>
        </w:rPr>
        <w:t xml:space="preserve">b) </w:t>
      </w:r>
      <w:r>
        <w:rPr>
          <w:rFonts w:eastAsia="Batang;바탕" w:cs="Verdana" w:ascii="Verdana" w:hAnsi="Verdana"/>
          <w:sz w:val="20"/>
          <w:szCs w:val="20"/>
        </w:rPr>
        <w:t xml:space="preserve">Modalidade: Pregão Presencial </w:t>
      </w:r>
      <w:r>
        <w:rPr>
          <w:rFonts w:eastAsia="Batang;바탕" w:cs="Verdana" w:ascii="Verdana" w:hAnsi="Verdana"/>
          <w:b/>
          <w:sz w:val="20"/>
          <w:szCs w:val="20"/>
        </w:rPr>
        <w:t>nº 001/2025 de 10/02/2025</w:t>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ind w:right="-142"/>
        <w:jc w:val="both"/>
        <w:rPr>
          <w:rFonts w:ascii="Verdana" w:hAnsi="Verdana" w:eastAsia="Batang;바탕" w:cs="Verdana"/>
          <w:b/>
          <w:sz w:val="20"/>
          <w:szCs w:val="20"/>
        </w:rPr>
      </w:pPr>
      <w:r>
        <w:rPr>
          <w:rFonts w:eastAsia="Batang;바탕" w:cs="Verdana" w:ascii="Verdana" w:hAnsi="Verdana"/>
          <w:b/>
          <w:sz w:val="20"/>
          <w:szCs w:val="20"/>
        </w:rPr>
        <w:t xml:space="preserve">c) </w:t>
      </w:r>
      <w:r>
        <w:rPr>
          <w:rFonts w:eastAsia="Batang;바탕" w:cs="Verdana" w:ascii="Verdana" w:hAnsi="Verdana"/>
          <w:sz w:val="20"/>
          <w:szCs w:val="20"/>
        </w:rPr>
        <w:t>Tipo de Licitação: Menor preço.</w:t>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ind w:right="-142"/>
        <w:jc w:val="both"/>
        <w:rPr>
          <w:rFonts w:ascii="Verdana" w:hAnsi="Verdana" w:eastAsia="Batang;바탕" w:cs="Verdana"/>
          <w:b/>
          <w:sz w:val="20"/>
          <w:szCs w:val="20"/>
        </w:rPr>
      </w:pPr>
      <w:r>
        <w:rPr>
          <w:rFonts w:eastAsia="Batang;바탕" w:cs="Verdana" w:ascii="Verdana" w:hAnsi="Verdana"/>
          <w:b/>
          <w:sz w:val="20"/>
          <w:szCs w:val="20"/>
        </w:rPr>
        <w:t xml:space="preserve">d) </w:t>
      </w:r>
      <w:r>
        <w:rPr>
          <w:rFonts w:eastAsia="Batang;바탕" w:cs="Verdana" w:ascii="Verdana" w:hAnsi="Verdana"/>
          <w:sz w:val="20"/>
          <w:szCs w:val="20"/>
        </w:rPr>
        <w:t xml:space="preserve">Critério de julgamento: Menor preço </w:t>
      </w:r>
      <w:r>
        <w:rPr>
          <w:rFonts w:eastAsia="Batang;바탕" w:cs="Verdana" w:ascii="Verdana" w:hAnsi="Verdana"/>
          <w:b/>
          <w:sz w:val="20"/>
          <w:szCs w:val="20"/>
        </w:rPr>
        <w:t>POR ITEM</w:t>
      </w:r>
      <w:r>
        <w:rPr>
          <w:rFonts w:eastAsia="Batang;바탕" w:cs="Verdana" w:ascii="Verdana" w:hAnsi="Verdana"/>
          <w:sz w:val="20"/>
          <w:szCs w:val="20"/>
        </w:rPr>
        <w:t>.</w:t>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ind w:right="-142"/>
        <w:jc w:val="both"/>
        <w:rPr>
          <w:rFonts w:ascii="Verdana" w:hAnsi="Verdana" w:eastAsia="Batang;바탕" w:cs="Verdana"/>
          <w:b/>
          <w:sz w:val="20"/>
          <w:szCs w:val="20"/>
          <w:lang w:eastAsia="pt-BR"/>
        </w:rPr>
      </w:pPr>
      <w:r>
        <w:rPr>
          <w:rFonts w:eastAsia="Batang;바탕" w:cs="Verdana" w:ascii="Verdana" w:hAnsi="Verdana"/>
          <w:b/>
          <w:sz w:val="20"/>
          <w:szCs w:val="20"/>
        </w:rPr>
        <w:t xml:space="preserve">e) </w:t>
      </w:r>
      <w:r>
        <w:rPr>
          <w:rFonts w:eastAsia="Batang;바탕" w:cs="Verdana" w:ascii="Verdana" w:hAnsi="Verdana"/>
          <w:sz w:val="20"/>
          <w:szCs w:val="20"/>
        </w:rPr>
        <w:t xml:space="preserve">Objetivo: </w:t>
      </w:r>
      <w:r>
        <w:rPr>
          <w:rFonts w:eastAsia="Batang;바탕" w:cs="Verdana" w:ascii="Verdana" w:hAnsi="Verdana"/>
          <w:b/>
          <w:sz w:val="20"/>
          <w:szCs w:val="20"/>
        </w:rPr>
        <w:t>REGISTRO DE PREÇOS – Decreto Municipal 3.609/2023.</w:t>
      </w:r>
    </w:p>
    <w:p>
      <w:pPr>
        <w:pStyle w:val="BodyText"/>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uppressAutoHyphens w:val="false"/>
        <w:spacing w:before="0" w:after="0"/>
        <w:ind w:right="-142"/>
        <w:jc w:val="both"/>
        <w:rPr>
          <w:rFonts w:ascii="Verdana" w:hAnsi="Verdana" w:cs="Verdana"/>
          <w:sz w:val="20"/>
          <w:szCs w:val="20"/>
        </w:rPr>
      </w:pPr>
      <w:r>
        <w:rPr>
          <w:rFonts w:eastAsia="Batang;바탕" w:cs="Verdana" w:ascii="Verdana" w:hAnsi="Verdana"/>
          <w:b/>
          <w:sz w:val="20"/>
          <w:szCs w:val="20"/>
          <w:lang w:eastAsia="pt-BR"/>
        </w:rPr>
        <w:t xml:space="preserve">f) </w:t>
      </w:r>
      <w:r>
        <w:rPr>
          <w:rFonts w:eastAsia="Batang;바탕" w:cs="Verdana" w:ascii="Verdana" w:hAnsi="Verdana"/>
          <w:sz w:val="20"/>
          <w:szCs w:val="20"/>
          <w:lang w:eastAsia="pt-BR"/>
        </w:rPr>
        <w:t xml:space="preserve">Ato de designação do pregoeiro e equipe de apoio: </w:t>
      </w:r>
      <w:r>
        <w:rPr>
          <w:rFonts w:eastAsia="Batang;바탕" w:cs="Verdana" w:ascii="Verdana" w:hAnsi="Verdana"/>
          <w:b/>
          <w:bCs/>
          <w:sz w:val="20"/>
          <w:szCs w:val="20"/>
        </w:rPr>
        <w:t>Portaria – n.º 8.710</w:t>
      </w:r>
      <w:r>
        <w:rPr>
          <w:rFonts w:eastAsia="Arial" w:cs="Verdana" w:ascii="Verdana" w:hAnsi="Verdana"/>
          <w:b/>
          <w:bCs/>
          <w:sz w:val="20"/>
          <w:szCs w:val="20"/>
          <w:lang w:eastAsia="en-US"/>
        </w:rPr>
        <w:t>/2024</w:t>
      </w:r>
      <w:r>
        <w:rPr>
          <w:rFonts w:eastAsia="Batang;바탕" w:cs="Verdana" w:ascii="Verdana" w:hAnsi="Verdana"/>
          <w:b/>
          <w:bCs/>
          <w:sz w:val="20"/>
          <w:szCs w:val="20"/>
        </w:rPr>
        <w:t>.</w:t>
      </w:r>
    </w:p>
    <w:p>
      <w:pPr>
        <w:pStyle w:val="BodyText"/>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uppressAutoHyphens w:val="false"/>
        <w:spacing w:before="0" w:after="0"/>
        <w:ind w:right="-142"/>
        <w:rPr>
          <w:rFonts w:ascii="Verdana" w:hAnsi="Verdana" w:cs="Verdana"/>
          <w:sz w:val="20"/>
          <w:szCs w:val="20"/>
        </w:rPr>
      </w:pPr>
      <w:r>
        <w:rPr>
          <w:rFonts w:cs="Verdana" w:ascii="Verdana" w:hAnsi="Verdana"/>
          <w:sz w:val="20"/>
          <w:szCs w:val="20"/>
        </w:rPr>
      </w:r>
    </w:p>
    <w:p>
      <w:pPr>
        <w:pStyle w:val="Normal"/>
        <w:tabs>
          <w:tab w:val="clear" w:pos="709"/>
          <w:tab w:val="left" w:pos="10348" w:leader="none"/>
        </w:tabs>
        <w:spacing w:lineRule="auto" w:line="276"/>
        <w:jc w:val="both"/>
        <w:rPr>
          <w:rFonts w:ascii="Verdana" w:hAnsi="Verdana" w:eastAsia="Batang;바탕" w:cs="Verdana"/>
          <w:b/>
          <w:sz w:val="20"/>
          <w:szCs w:val="20"/>
        </w:rPr>
      </w:pPr>
      <w:r>
        <w:rPr>
          <w:rFonts w:eastAsia="Batang;바탕" w:cs="Verdana" w:ascii="Verdana" w:hAnsi="Verdana"/>
          <w:b/>
          <w:sz w:val="20"/>
          <w:szCs w:val="20"/>
        </w:rPr>
        <w:t>3.10 –</w:t>
      </w:r>
      <w:r>
        <w:rPr>
          <w:rFonts w:eastAsia="Batang;바탕" w:cs="Verdana" w:ascii="Verdana" w:hAnsi="Verdana"/>
          <w:sz w:val="20"/>
          <w:szCs w:val="20"/>
        </w:rPr>
        <w:t xml:space="preserve"> O objeto da presente licitação é </w:t>
      </w:r>
      <w:r>
        <w:rPr>
          <w:rFonts w:eastAsia="Batang;바탕" w:cs="Verdana" w:ascii="Verdana" w:hAnsi="Verdana"/>
          <w:b/>
          <w:i/>
          <w:sz w:val="20"/>
          <w:szCs w:val="20"/>
        </w:rPr>
        <w:t>Constituição de Ata de Registro de Preços,</w:t>
      </w:r>
      <w:r>
        <w:rPr>
          <w:rFonts w:eastAsia="Batang;바탕" w:cs="Verdana" w:ascii="Verdana" w:hAnsi="Verdana"/>
          <w:sz w:val="20"/>
          <w:szCs w:val="20"/>
        </w:rPr>
        <w:t xml:space="preserve"> para futura e eventual contratação de empresa especializada em prestação de serviços de locação de horas produtivas de máquinas, equipamentos e veículos</w:t>
      </w:r>
      <w:r>
        <w:rPr>
          <w:rFonts w:eastAsia="Batang;바탕" w:cs="Verdana" w:ascii="Verdana" w:hAnsi="Verdana"/>
          <w:iCs/>
          <w:sz w:val="20"/>
          <w:szCs w:val="20"/>
        </w:rPr>
        <w:t>, por um prazo de 12 (doze) meses</w:t>
      </w:r>
      <w:r>
        <w:rPr>
          <w:rFonts w:eastAsia="Batang;바탕" w:cs="Verdana" w:ascii="Verdana" w:hAnsi="Verdana"/>
          <w:sz w:val="20"/>
          <w:szCs w:val="20"/>
        </w:rPr>
        <w:t>.</w:t>
      </w:r>
    </w:p>
    <w:p>
      <w:pPr>
        <w:pStyle w:val="Normal"/>
        <w:tabs>
          <w:tab w:val="clear" w:pos="709"/>
          <w:tab w:val="left" w:pos="10348" w:leader="none"/>
        </w:tabs>
        <w:spacing w:lineRule="auto" w:line="276"/>
        <w:jc w:val="both"/>
        <w:rPr>
          <w:rFonts w:ascii="Verdana" w:hAnsi="Verdana" w:eastAsia="Batang;바탕" w:cs="Verdana"/>
          <w:b/>
          <w:sz w:val="20"/>
          <w:szCs w:val="20"/>
          <w:u w:val="single"/>
        </w:rPr>
      </w:pPr>
      <w:r>
        <w:rPr>
          <w:rFonts w:eastAsia="Batang;바탕" w:cs="Verdana" w:ascii="Verdana" w:hAnsi="Verdana"/>
          <w:b/>
          <w:sz w:val="20"/>
          <w:szCs w:val="20"/>
        </w:rPr>
        <w:t>3</w:t>
      </w:r>
      <w:r>
        <w:rPr>
          <w:rFonts w:cs="Verdana" w:ascii="Verdana" w:hAnsi="Verdana"/>
          <w:b/>
          <w:sz w:val="20"/>
          <w:szCs w:val="20"/>
        </w:rPr>
        <w:t xml:space="preserve">.11 – </w:t>
      </w:r>
      <w:r>
        <w:rPr>
          <w:rFonts w:cs="Verdana" w:ascii="Verdana" w:hAnsi="Verdana"/>
          <w:sz w:val="20"/>
          <w:szCs w:val="20"/>
        </w:rPr>
        <w:t xml:space="preserve">Os itens ora licitados se encontram discriminados no </w:t>
      </w:r>
      <w:r>
        <w:rPr>
          <w:rFonts w:cs="Verdana" w:ascii="Verdana" w:hAnsi="Verdana"/>
          <w:b/>
          <w:sz w:val="20"/>
          <w:szCs w:val="20"/>
        </w:rPr>
        <w:t>ANEXO III</w:t>
      </w:r>
      <w:r>
        <w:rPr>
          <w:rFonts w:cs="Verdana" w:ascii="Verdana" w:hAnsi="Verdana"/>
          <w:sz w:val="20"/>
          <w:szCs w:val="20"/>
        </w:rPr>
        <w:t>.</w:t>
      </w:r>
    </w:p>
    <w:p>
      <w:pPr>
        <w:pStyle w:val="Normal"/>
        <w:tabs>
          <w:tab w:val="clear" w:pos="709"/>
          <w:tab w:val="left" w:pos="10348" w:leader="none"/>
        </w:tabs>
        <w:spacing w:lineRule="auto" w:line="276"/>
        <w:ind w:right="-29"/>
        <w:jc w:val="center"/>
        <w:rPr>
          <w:rFonts w:ascii="Verdana" w:hAnsi="Verdana" w:eastAsia="Batang;바탕" w:cs="Verdana"/>
          <w:b/>
          <w:sz w:val="20"/>
          <w:szCs w:val="20"/>
          <w:u w:val="single"/>
        </w:rPr>
      </w:pPr>
      <w:r>
        <w:rPr>
          <w:rFonts w:eastAsia="Batang;바탕" w:cs="Verdana" w:ascii="Verdana" w:hAnsi="Verdana"/>
          <w:b/>
          <w:sz w:val="20"/>
          <w:szCs w:val="20"/>
          <w:u w:val="single"/>
        </w:rPr>
      </w:r>
    </w:p>
    <w:p>
      <w:pPr>
        <w:pStyle w:val="Normal"/>
        <w:tabs>
          <w:tab w:val="clear" w:pos="709"/>
          <w:tab w:val="left" w:pos="10348" w:leader="none"/>
        </w:tabs>
        <w:spacing w:lineRule="auto" w:line="276"/>
        <w:ind w:right="-29"/>
        <w:jc w:val="center"/>
        <w:rPr>
          <w:rFonts w:ascii="Verdana" w:hAnsi="Verdana" w:eastAsia="Batang;바탕" w:cs="Verdana"/>
          <w:sz w:val="20"/>
          <w:szCs w:val="20"/>
        </w:rPr>
      </w:pPr>
      <w:r>
        <w:rPr>
          <w:rFonts w:eastAsia="Batang;바탕" w:cs="Verdana" w:ascii="Verdana" w:hAnsi="Verdana"/>
          <w:b/>
          <w:sz w:val="20"/>
          <w:szCs w:val="20"/>
          <w:u w:val="single"/>
        </w:rPr>
        <w:t>IV – DATA, LOCAL E HORA PARA A ENTREGA DOS ENVELOPES</w:t>
      </w:r>
    </w:p>
    <w:p>
      <w:pPr>
        <w:pStyle w:val="Corpodetexto31"/>
        <w:numPr>
          <w:ilvl w:val="1"/>
          <w:numId w:val="8"/>
        </w:numPr>
        <w:tabs>
          <w:tab w:val="clear" w:pos="1026"/>
          <w:tab w:val="clear" w:pos="1530"/>
          <w:tab w:val="clear" w:pos="2262"/>
          <w:tab w:val="clear" w:pos="2664"/>
          <w:tab w:val="clear" w:pos="3228"/>
          <w:tab w:val="left" w:pos="-414" w:leader="none"/>
          <w:tab w:val="left" w:pos="0" w:leader="none"/>
          <w:tab w:val="left" w:pos="306" w:leader="none"/>
          <w:tab w:val="left" w:pos="426"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ind w:hanging="0" w:left="0" w:right="0"/>
        <w:rPr>
          <w:rFonts w:ascii="Verdana" w:hAnsi="Verdana" w:eastAsia="Batang;바탕" w:cs="Verdana"/>
          <w:sz w:val="20"/>
          <w:szCs w:val="20"/>
        </w:rPr>
      </w:pPr>
      <w:r>
        <w:rPr>
          <w:rFonts w:eastAsia="Batang;바탕" w:cs="Verdana" w:ascii="Verdana" w:hAnsi="Verdana"/>
          <w:sz w:val="20"/>
          <w:szCs w:val="20"/>
        </w:rPr>
        <w:t xml:space="preserve">Até o </w:t>
      </w:r>
      <w:r>
        <w:rPr>
          <w:rFonts w:eastAsia="Batang;바탕" w:cs="Verdana" w:ascii="Verdana" w:hAnsi="Verdana"/>
          <w:b/>
          <w:sz w:val="20"/>
          <w:szCs w:val="20"/>
        </w:rPr>
        <w:t xml:space="preserve">dia </w:t>
      </w:r>
      <w:r>
        <w:rPr>
          <w:rFonts w:eastAsia="Batang;바탕" w:cs="Verdana" w:ascii="Verdana" w:hAnsi="Verdana"/>
          <w:b/>
          <w:sz w:val="20"/>
          <w:szCs w:val="20"/>
          <w:lang w:val="pt-BR"/>
        </w:rPr>
        <w:t>__</w:t>
      </w:r>
      <w:r>
        <w:rPr>
          <w:rFonts w:eastAsia="Batang;바탕" w:cs="Verdana" w:ascii="Verdana" w:hAnsi="Verdana"/>
          <w:b/>
          <w:sz w:val="20"/>
          <w:szCs w:val="20"/>
        </w:rPr>
        <w:t xml:space="preserve"> de  </w:t>
      </w:r>
      <w:r>
        <w:rPr>
          <w:rFonts w:eastAsia="Batang;바탕" w:cs="Verdana" w:ascii="Verdana" w:hAnsi="Verdana"/>
          <w:b/>
          <w:sz w:val="20"/>
          <w:szCs w:val="20"/>
          <w:lang w:val="pt-BR"/>
        </w:rPr>
        <w:t>________</w:t>
      </w:r>
      <w:r>
        <w:rPr>
          <w:rFonts w:eastAsia="Batang;바탕" w:cs="Verdana" w:ascii="Verdana" w:hAnsi="Verdana"/>
          <w:b/>
          <w:sz w:val="20"/>
          <w:szCs w:val="20"/>
        </w:rPr>
        <w:t xml:space="preserve"> de 202</w:t>
      </w:r>
      <w:r>
        <w:rPr>
          <w:rFonts w:eastAsia="Batang;바탕" w:cs="Verdana" w:ascii="Verdana" w:hAnsi="Verdana"/>
          <w:b/>
          <w:sz w:val="20"/>
          <w:szCs w:val="20"/>
          <w:lang w:val="pt-BR"/>
        </w:rPr>
        <w:t>5</w:t>
      </w:r>
      <w:r>
        <w:rPr>
          <w:rFonts w:eastAsia="Batang;바탕" w:cs="Verdana" w:ascii="Verdana" w:hAnsi="Verdana"/>
          <w:b/>
          <w:sz w:val="20"/>
          <w:szCs w:val="20"/>
        </w:rPr>
        <w:t xml:space="preserve"> às </w:t>
      </w:r>
      <w:r>
        <w:rPr>
          <w:rFonts w:eastAsia="Batang;바탕" w:cs="Verdana" w:ascii="Verdana" w:hAnsi="Verdana"/>
          <w:b/>
          <w:sz w:val="20"/>
          <w:szCs w:val="20"/>
          <w:lang w:val="pt-BR"/>
        </w:rPr>
        <w:t>__</w:t>
      </w:r>
      <w:r>
        <w:rPr>
          <w:rFonts w:eastAsia="Batang;바탕" w:cs="Verdana" w:ascii="Verdana" w:hAnsi="Verdana"/>
          <w:b/>
          <w:sz w:val="20"/>
          <w:szCs w:val="20"/>
        </w:rPr>
        <w:t xml:space="preserve"> horas</w:t>
      </w:r>
      <w:r>
        <w:rPr>
          <w:rFonts w:eastAsia="Batang;바탕" w:cs="Verdana" w:ascii="Verdana" w:hAnsi="Verdana"/>
          <w:b/>
          <w:sz w:val="20"/>
          <w:szCs w:val="20"/>
          <w:lang w:val="pt-BR"/>
        </w:rPr>
        <w:t xml:space="preserve"> e __ minutos</w:t>
      </w:r>
      <w:r>
        <w:rPr>
          <w:rFonts w:eastAsia="Batang;바탕" w:cs="Verdana" w:ascii="Verdana" w:hAnsi="Verdana"/>
          <w:b/>
          <w:sz w:val="20"/>
          <w:szCs w:val="20"/>
        </w:rPr>
        <w:t>,</w:t>
      </w:r>
      <w:r>
        <w:rPr>
          <w:rFonts w:eastAsia="Batang;바탕" w:cs="Verdana" w:ascii="Verdana" w:hAnsi="Verdana"/>
          <w:sz w:val="20"/>
          <w:szCs w:val="20"/>
        </w:rPr>
        <w:t xml:space="preserve"> o licitante deverá </w:t>
      </w:r>
      <w:r>
        <w:rPr>
          <w:rFonts w:eastAsia="Batang;바탕" w:cs="Verdana" w:ascii="Verdana" w:hAnsi="Verdana"/>
          <w:b/>
          <w:sz w:val="20"/>
          <w:szCs w:val="20"/>
        </w:rPr>
        <w:t xml:space="preserve">protocolar </w:t>
      </w:r>
      <w:r>
        <w:rPr>
          <w:rFonts w:eastAsia="Batang;바탕" w:cs="Verdana" w:ascii="Verdana" w:hAnsi="Verdana"/>
          <w:sz w:val="20"/>
          <w:szCs w:val="20"/>
        </w:rPr>
        <w:t xml:space="preserve">os envelopes (PROPOSTA e HABILITAÇÃO) referentes a este Pregão </w:t>
      </w:r>
      <w:r>
        <w:rPr>
          <w:rFonts w:eastAsia="Batang;바탕" w:cs="Verdana" w:ascii="Verdana" w:hAnsi="Verdana"/>
          <w:b/>
          <w:sz w:val="20"/>
          <w:szCs w:val="20"/>
        </w:rPr>
        <w:t>no Protocolo Geral desta Prefeitura Municipal,</w:t>
      </w:r>
      <w:r>
        <w:rPr>
          <w:rFonts w:eastAsia="Batang;바탕" w:cs="Verdana" w:ascii="Verdana" w:hAnsi="Verdana"/>
          <w:sz w:val="20"/>
          <w:szCs w:val="20"/>
        </w:rPr>
        <w:t xml:space="preserve"> localizado no prédio da Prefeitura, </w:t>
      </w:r>
      <w:r>
        <w:rPr>
          <w:rFonts w:cs="Verdana" w:ascii="Verdana" w:hAnsi="Verdana"/>
          <w:sz w:val="20"/>
          <w:szCs w:val="20"/>
        </w:rPr>
        <w:t>situado à Praça Vicente Glazar nº 159, Centro, São Gabriel da Palha, ES.</w:t>
      </w:r>
    </w:p>
    <w:p>
      <w:pPr>
        <w:pStyle w:val="Corpodetexto31"/>
        <w:numPr>
          <w:ilvl w:val="1"/>
          <w:numId w:val="8"/>
        </w:numPr>
        <w:tabs>
          <w:tab w:val="clear" w:pos="1026"/>
          <w:tab w:val="clear" w:pos="1530"/>
          <w:tab w:val="clear" w:pos="2262"/>
          <w:tab w:val="clear" w:pos="2664"/>
          <w:tab w:val="clear" w:pos="3228"/>
          <w:tab w:val="left" w:pos="-414" w:leader="none"/>
          <w:tab w:val="left" w:pos="0" w:leader="none"/>
          <w:tab w:val="left" w:pos="306" w:leader="none"/>
          <w:tab w:val="left" w:pos="426"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ind w:hanging="0" w:left="0" w:right="0"/>
        <w:rPr>
          <w:rFonts w:ascii="Verdana" w:hAnsi="Verdana" w:eastAsia="Batang;바탕" w:cs="Verdana"/>
          <w:sz w:val="20"/>
          <w:szCs w:val="20"/>
        </w:rPr>
      </w:pPr>
      <w:r>
        <w:rPr>
          <w:rFonts w:eastAsia="Batang;바탕" w:cs="Verdana" w:ascii="Verdana" w:hAnsi="Verdana"/>
          <w:sz w:val="20"/>
          <w:szCs w:val="20"/>
        </w:rPr>
        <w:t>As empresas que apresentarem seus envelopes além do horário estipulado neste Capítulo serão consideradas desclassificadas na licitação.</w:t>
      </w:r>
    </w:p>
    <w:p>
      <w:pPr>
        <w:pStyle w:val="Corpodetexto31"/>
        <w:numPr>
          <w:ilvl w:val="1"/>
          <w:numId w:val="8"/>
        </w:numPr>
        <w:tabs>
          <w:tab w:val="clear" w:pos="1026"/>
          <w:tab w:val="clear" w:pos="1530"/>
          <w:tab w:val="clear" w:pos="2262"/>
          <w:tab w:val="clear" w:pos="2664"/>
          <w:tab w:val="clear" w:pos="3228"/>
          <w:tab w:val="left" w:pos="-414" w:leader="none"/>
          <w:tab w:val="left" w:pos="0" w:leader="none"/>
          <w:tab w:val="left" w:pos="306" w:leader="none"/>
          <w:tab w:val="left" w:pos="426"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ind w:hanging="0" w:left="0" w:right="0"/>
        <w:rPr>
          <w:rFonts w:ascii="Verdana" w:hAnsi="Verdana" w:cs="Verdana"/>
          <w:sz w:val="20"/>
          <w:szCs w:val="20"/>
        </w:rPr>
      </w:pPr>
      <w:r>
        <w:rPr>
          <w:rFonts w:eastAsia="Batang;바탕" w:cs="Verdana" w:ascii="Verdana" w:hAnsi="Verdana"/>
          <w:sz w:val="20"/>
          <w:szCs w:val="20"/>
        </w:rPr>
        <w:t>A sessão que ocorrerá o pregão terá início a partir das</w:t>
      </w:r>
      <w:r>
        <w:rPr>
          <w:rFonts w:eastAsia="Batang;바탕" w:cs="Verdana" w:ascii="Verdana" w:hAnsi="Verdana"/>
          <w:b/>
          <w:sz w:val="20"/>
          <w:szCs w:val="20"/>
        </w:rPr>
        <w:t xml:space="preserve"> </w:t>
      </w:r>
      <w:r>
        <w:rPr>
          <w:rFonts w:eastAsia="Batang;바탕" w:cs="Verdana" w:ascii="Verdana" w:hAnsi="Verdana"/>
          <w:b/>
          <w:sz w:val="20"/>
          <w:szCs w:val="20"/>
          <w:lang w:val="pt-BR"/>
        </w:rPr>
        <w:t>__</w:t>
      </w:r>
      <w:r>
        <w:rPr>
          <w:rFonts w:eastAsia="Batang;바탕" w:cs="Verdana" w:ascii="Verdana" w:hAnsi="Verdana"/>
          <w:b/>
          <w:sz w:val="20"/>
          <w:szCs w:val="20"/>
        </w:rPr>
        <w:t xml:space="preserve"> h (</w:t>
      </w:r>
      <w:r>
        <w:rPr>
          <w:rFonts w:eastAsia="Batang;바탕" w:cs="Verdana" w:ascii="Verdana" w:hAnsi="Verdana"/>
          <w:b/>
          <w:sz w:val="20"/>
          <w:szCs w:val="20"/>
          <w:lang w:val="pt-BR"/>
        </w:rPr>
        <w:t>_____</w:t>
      </w:r>
      <w:r>
        <w:rPr>
          <w:rFonts w:eastAsia="Batang;바탕" w:cs="Verdana" w:ascii="Verdana" w:hAnsi="Verdana"/>
          <w:b/>
          <w:sz w:val="20"/>
          <w:szCs w:val="20"/>
        </w:rPr>
        <w:t xml:space="preserve"> horas) do dia </w:t>
      </w:r>
      <w:r>
        <w:rPr>
          <w:rFonts w:eastAsia="Batang;바탕" w:cs="Verdana" w:ascii="Verdana" w:hAnsi="Verdana"/>
          <w:b/>
          <w:sz w:val="20"/>
          <w:szCs w:val="20"/>
          <w:lang w:val="pt-BR"/>
        </w:rPr>
        <w:t>__</w:t>
      </w:r>
      <w:r>
        <w:rPr>
          <w:rFonts w:eastAsia="Batang;바탕" w:cs="Verdana" w:ascii="Verdana" w:hAnsi="Verdana"/>
          <w:b/>
          <w:sz w:val="20"/>
          <w:szCs w:val="20"/>
        </w:rPr>
        <w:t xml:space="preserve">  de </w:t>
      </w:r>
      <w:r>
        <w:rPr>
          <w:rFonts w:eastAsia="Batang;바탕" w:cs="Verdana" w:ascii="Verdana" w:hAnsi="Verdana"/>
          <w:b/>
          <w:sz w:val="20"/>
          <w:szCs w:val="20"/>
          <w:lang w:val="pt-BR"/>
        </w:rPr>
        <w:t>_______</w:t>
      </w:r>
      <w:r>
        <w:rPr>
          <w:rFonts w:eastAsia="Batang;바탕" w:cs="Verdana" w:ascii="Verdana" w:hAnsi="Verdana"/>
          <w:b/>
          <w:sz w:val="20"/>
          <w:szCs w:val="20"/>
        </w:rPr>
        <w:t xml:space="preserve"> de 202</w:t>
      </w:r>
      <w:r>
        <w:rPr>
          <w:rFonts w:eastAsia="Batang;바탕" w:cs="Verdana" w:ascii="Verdana" w:hAnsi="Verdana"/>
          <w:b/>
          <w:sz w:val="20"/>
          <w:szCs w:val="20"/>
          <w:lang w:val="pt-BR"/>
        </w:rPr>
        <w:t>5</w:t>
      </w:r>
      <w:r>
        <w:rPr>
          <w:rFonts w:eastAsia="Batang;바탕" w:cs="Verdana" w:ascii="Verdana" w:hAnsi="Verdana"/>
          <w:sz w:val="20"/>
          <w:szCs w:val="20"/>
        </w:rPr>
        <w:t xml:space="preserve"> na sala de reuniões do setor de licitações da Prefeitura Municipal de São Gabriel da Palha/ES.</w:t>
      </w:r>
    </w:p>
    <w:p>
      <w:pPr>
        <w:pStyle w:val="Corpodetexto31"/>
        <w:numPr>
          <w:ilvl w:val="1"/>
          <w:numId w:val="8"/>
        </w:numPr>
        <w:tabs>
          <w:tab w:val="clear" w:pos="1026"/>
          <w:tab w:val="clear" w:pos="1530"/>
          <w:tab w:val="clear" w:pos="2262"/>
          <w:tab w:val="clear" w:pos="2664"/>
          <w:tab w:val="clear" w:pos="3228"/>
          <w:tab w:val="left" w:pos="-414" w:leader="none"/>
          <w:tab w:val="left" w:pos="0" w:leader="none"/>
          <w:tab w:val="left" w:pos="306" w:leader="none"/>
          <w:tab w:val="left" w:pos="426"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ind w:hanging="0" w:left="0" w:right="0"/>
        <w:rPr>
          <w:rFonts w:ascii="Verdana" w:hAnsi="Verdana" w:eastAsia="Batang;바탕" w:cs="Verdana"/>
          <w:sz w:val="20"/>
          <w:szCs w:val="20"/>
        </w:rPr>
      </w:pPr>
      <w:r>
        <w:rPr>
          <w:rFonts w:eastAsia="Batang;바탕" w:cs="Verdana" w:ascii="Verdana" w:hAnsi="Verdana"/>
          <w:sz w:val="20"/>
          <w:szCs w:val="20"/>
        </w:rPr>
        <w:t>Os envelopes deverão ser protocolados contendo na parte externa, além da razão social ou denominação social completa da proponente, os seguintes dizeres:</w:t>
      </w:r>
    </w:p>
    <w:tbl>
      <w:tblPr>
        <w:tblW w:w="9125" w:type="dxa"/>
        <w:jc w:val="left"/>
        <w:tblInd w:w="108" w:type="dxa"/>
        <w:tblLayout w:type="fixed"/>
        <w:tblCellMar>
          <w:top w:w="0" w:type="dxa"/>
          <w:left w:w="108" w:type="dxa"/>
          <w:bottom w:w="0" w:type="dxa"/>
          <w:right w:w="108" w:type="dxa"/>
        </w:tblCellMar>
      </w:tblPr>
      <w:tblGrid>
        <w:gridCol w:w="4482"/>
        <w:gridCol w:w="4643"/>
      </w:tblGrid>
      <w:tr>
        <w:trPr/>
        <w:tc>
          <w:tcPr>
            <w:tcW w:w="4482" w:type="dxa"/>
            <w:tcBorders>
              <w:top w:val="single" w:sz="4" w:space="0" w:color="000000"/>
              <w:left w:val="single" w:sz="4" w:space="0" w:color="000000"/>
              <w:bottom w:val="single" w:sz="4" w:space="0" w:color="000000"/>
            </w:tcBorders>
          </w:tcPr>
          <w:p>
            <w:pPr>
              <w:pStyle w:val="Normal"/>
              <w:tabs>
                <w:tab w:val="clear" w:pos="709"/>
                <w:tab w:val="left" w:pos="-414" w:leader="none"/>
                <w:tab w:val="left" w:pos="0" w:leader="none"/>
                <w:tab w:val="left" w:pos="306" w:leader="none"/>
                <w:tab w:val="left" w:pos="658" w:leader="none"/>
                <w:tab w:val="left" w:pos="701"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b/>
                <w:i/>
                <w:i/>
                <w:sz w:val="20"/>
                <w:szCs w:val="20"/>
                <w:u w:val="single"/>
              </w:rPr>
            </w:pPr>
            <w:r>
              <w:rPr>
                <w:rFonts w:eastAsia="Batang;바탕" w:cs="Verdana" w:ascii="Verdana" w:hAnsi="Verdana"/>
                <w:b/>
                <w:i/>
                <w:sz w:val="20"/>
                <w:szCs w:val="20"/>
                <w:u w:val="single"/>
              </w:rPr>
              <w:t>Prefeitura Municipal de São Gabriel da Palha</w:t>
            </w:r>
          </w:p>
          <w:p>
            <w:pPr>
              <w:pStyle w:val="Normal"/>
              <w:tabs>
                <w:tab w:val="clear" w:pos="709"/>
                <w:tab w:val="left" w:pos="-414" w:leader="none"/>
                <w:tab w:val="left" w:pos="0" w:leader="none"/>
                <w:tab w:val="left" w:pos="306" w:leader="none"/>
                <w:tab w:val="left" w:pos="658" w:leader="none"/>
                <w:tab w:val="left" w:pos="701"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b/>
                <w:i/>
                <w:i/>
                <w:sz w:val="20"/>
                <w:szCs w:val="20"/>
                <w:u w:val="single"/>
              </w:rPr>
            </w:pPr>
            <w:r>
              <w:rPr>
                <w:rFonts w:eastAsia="Batang;바탕" w:cs="Verdana" w:ascii="Verdana" w:hAnsi="Verdana"/>
                <w:b/>
                <w:i/>
                <w:sz w:val="20"/>
                <w:szCs w:val="20"/>
                <w:u w:val="single"/>
              </w:rPr>
              <w:t>Pregão Presencial nº 001/2025</w:t>
            </w:r>
          </w:p>
          <w:p>
            <w:pPr>
              <w:pStyle w:val="Normal"/>
              <w:tabs>
                <w:tab w:val="clear" w:pos="709"/>
                <w:tab w:val="left" w:pos="-414" w:leader="none"/>
                <w:tab w:val="left" w:pos="0" w:leader="none"/>
                <w:tab w:val="left" w:pos="306" w:leader="none"/>
                <w:tab w:val="left" w:pos="658" w:leader="none"/>
                <w:tab w:val="left" w:pos="701"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b/>
                <w:i/>
                <w:i/>
                <w:sz w:val="20"/>
                <w:szCs w:val="20"/>
                <w:u w:val="single"/>
              </w:rPr>
            </w:pPr>
            <w:r>
              <w:rPr>
                <w:rFonts w:eastAsia="Batang;바탕" w:cs="Verdana" w:ascii="Verdana" w:hAnsi="Verdana"/>
                <w:b/>
                <w:i/>
                <w:sz w:val="20"/>
                <w:szCs w:val="20"/>
                <w:u w:val="single"/>
              </w:rPr>
              <w:t>Envelope nº 001 PROPOSTA.</w:t>
            </w:r>
          </w:p>
        </w:tc>
        <w:tc>
          <w:tcPr>
            <w:tcW w:w="4643" w:type="dxa"/>
            <w:tcBorders>
              <w:top w:val="single" w:sz="4" w:space="0" w:color="000000"/>
              <w:left w:val="single" w:sz="4" w:space="0" w:color="000000"/>
              <w:bottom w:val="single" w:sz="4" w:space="0" w:color="000000"/>
              <w:right w:val="single" w:sz="4" w:space="0" w:color="000000"/>
            </w:tcBorders>
          </w:tcPr>
          <w:p>
            <w:pPr>
              <w:pStyle w:val="Normal"/>
              <w:tabs>
                <w:tab w:val="clear" w:pos="709"/>
                <w:tab w:val="left" w:pos="-414" w:leader="none"/>
                <w:tab w:val="left" w:pos="0" w:leader="none"/>
                <w:tab w:val="left" w:pos="306" w:leader="none"/>
                <w:tab w:val="left" w:pos="658" w:leader="none"/>
                <w:tab w:val="left" w:pos="701"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b/>
                <w:i/>
                <w:i/>
                <w:sz w:val="20"/>
                <w:szCs w:val="20"/>
                <w:u w:val="single"/>
              </w:rPr>
            </w:pPr>
            <w:r>
              <w:rPr>
                <w:rFonts w:eastAsia="Batang;바탕" w:cs="Verdana" w:ascii="Verdana" w:hAnsi="Verdana"/>
                <w:b/>
                <w:i/>
                <w:sz w:val="20"/>
                <w:szCs w:val="20"/>
                <w:u w:val="single"/>
              </w:rPr>
              <w:t>Prefeitura Municipal de São Gabriel da Palha</w:t>
            </w:r>
          </w:p>
          <w:p>
            <w:pPr>
              <w:pStyle w:val="Normal"/>
              <w:tabs>
                <w:tab w:val="clear" w:pos="709"/>
                <w:tab w:val="left" w:pos="-414" w:leader="none"/>
                <w:tab w:val="left" w:pos="0" w:leader="none"/>
                <w:tab w:val="left" w:pos="306" w:leader="none"/>
                <w:tab w:val="left" w:pos="658" w:leader="none"/>
                <w:tab w:val="left" w:pos="701"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b/>
                <w:i/>
                <w:i/>
                <w:sz w:val="20"/>
                <w:szCs w:val="20"/>
                <w:u w:val="single"/>
              </w:rPr>
            </w:pPr>
            <w:r>
              <w:rPr>
                <w:rFonts w:eastAsia="Batang;바탕" w:cs="Verdana" w:ascii="Verdana" w:hAnsi="Verdana"/>
                <w:b/>
                <w:i/>
                <w:sz w:val="20"/>
                <w:szCs w:val="20"/>
                <w:u w:val="single"/>
              </w:rPr>
              <w:t>Pregão Presencial nº 001/2025</w:t>
            </w:r>
          </w:p>
          <w:p>
            <w:pPr>
              <w:pStyle w:val="Normal"/>
              <w:tabs>
                <w:tab w:val="clear" w:pos="709"/>
                <w:tab w:val="left" w:pos="-414" w:leader="none"/>
                <w:tab w:val="left" w:pos="0" w:leader="none"/>
                <w:tab w:val="left" w:pos="306" w:leader="none"/>
                <w:tab w:val="left" w:pos="658" w:leader="none"/>
                <w:tab w:val="left" w:pos="701"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pPr>
            <w:r>
              <w:rPr>
                <w:rFonts w:eastAsia="Batang;바탕" w:cs="Verdana" w:ascii="Verdana" w:hAnsi="Verdana"/>
                <w:b/>
                <w:i/>
                <w:sz w:val="20"/>
                <w:szCs w:val="20"/>
                <w:u w:val="single"/>
              </w:rPr>
              <w:t>Envelope nº 002 – HABILITAÇÃO.</w:t>
            </w:r>
          </w:p>
        </w:tc>
      </w:tr>
    </w:tbl>
    <w:p>
      <w:pPr>
        <w:pStyle w:val="Normal"/>
        <w:numPr>
          <w:ilvl w:val="1"/>
          <w:numId w:val="8"/>
        </w:numPr>
        <w:tabs>
          <w:tab w:val="clear" w:pos="709"/>
          <w:tab w:val="left" w:pos="-414" w:leader="none"/>
          <w:tab w:val="left" w:pos="0" w:leader="none"/>
          <w:tab w:val="left" w:pos="306" w:leader="none"/>
          <w:tab w:val="left" w:pos="420"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ind w:hanging="0" w:left="0" w:right="0"/>
        <w:jc w:val="both"/>
        <w:rPr>
          <w:rFonts w:ascii="Verdana" w:hAnsi="Verdana" w:eastAsia="Batang;바탕" w:cs="Verdana"/>
          <w:sz w:val="20"/>
          <w:szCs w:val="20"/>
        </w:rPr>
      </w:pPr>
      <w:r>
        <w:rPr>
          <w:rFonts w:eastAsia="Batang;바탕" w:cs="Verdana" w:ascii="Verdana" w:hAnsi="Verdana"/>
          <w:sz w:val="20"/>
          <w:szCs w:val="20"/>
        </w:rPr>
        <w:t>Os envelopes após serem protocolados serão encaminhados pelo próprio responsável pelo protocolo geral à sala de sessões de licitação, entregando-os ao Pregoeiro Oficial ou a qualquer membro da equipe de apoio lá presente.</w:t>
      </w:r>
    </w:p>
    <w:p>
      <w:pPr>
        <w:pStyle w:val="Normal"/>
        <w:numPr>
          <w:ilvl w:val="1"/>
          <w:numId w:val="8"/>
        </w:numPr>
        <w:tabs>
          <w:tab w:val="clear" w:pos="709"/>
          <w:tab w:val="left" w:pos="-414" w:leader="none"/>
          <w:tab w:val="left" w:pos="0" w:leader="none"/>
          <w:tab w:val="left" w:pos="306" w:leader="none"/>
          <w:tab w:val="left" w:pos="420"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ind w:hanging="0" w:left="0" w:right="0"/>
        <w:jc w:val="both"/>
        <w:rPr>
          <w:rFonts w:ascii="Verdana" w:hAnsi="Verdana" w:eastAsia="Batang;바탕" w:cs="Verdana"/>
          <w:sz w:val="20"/>
          <w:szCs w:val="20"/>
        </w:rPr>
      </w:pPr>
      <w:r>
        <w:rPr>
          <w:rFonts w:eastAsia="Batang;바탕" w:cs="Verdana" w:ascii="Verdana" w:hAnsi="Verdana"/>
          <w:sz w:val="20"/>
          <w:szCs w:val="20"/>
        </w:rPr>
        <w:t xml:space="preserve">Os documentos para credenciamento e a declaração dando ciência de que a licitante cumpre plenamente os requisitos de habilitação </w:t>
      </w:r>
      <w:r>
        <w:rPr>
          <w:rFonts w:eastAsia="Batang;바탕" w:cs="Verdana" w:ascii="Verdana" w:hAnsi="Verdana"/>
          <w:b/>
          <w:sz w:val="20"/>
          <w:szCs w:val="20"/>
        </w:rPr>
        <w:t>(ANEXO I e II),</w:t>
      </w:r>
      <w:r>
        <w:rPr>
          <w:rFonts w:eastAsia="Batang;바탕" w:cs="Verdana" w:ascii="Verdana" w:hAnsi="Verdana"/>
          <w:sz w:val="20"/>
          <w:szCs w:val="20"/>
        </w:rPr>
        <w:t xml:space="preserve"> em cumprimento ao disposto no art. 4º, VII da Lei nº 10.520/02, deverá ser entregue diretamente ao Pregoeiro no início da sessão do Pregão.</w:t>
      </w:r>
    </w:p>
    <w:p>
      <w:pPr>
        <w:pStyle w:val="Normal"/>
        <w:spacing w:lineRule="auto" w:line="276"/>
        <w:jc w:val="center"/>
        <w:rPr>
          <w:rFonts w:ascii="Verdana" w:hAnsi="Verdana" w:eastAsia="Batang;바탕" w:cs="Verdana"/>
          <w:sz w:val="20"/>
          <w:szCs w:val="20"/>
        </w:rPr>
      </w:pPr>
      <w:r>
        <w:rPr>
          <w:rFonts w:eastAsia="Batang;바탕" w:cs="Verdana" w:ascii="Verdana" w:hAnsi="Verdana"/>
          <w:sz w:val="20"/>
          <w:szCs w:val="20"/>
        </w:rPr>
      </w:r>
    </w:p>
    <w:p>
      <w:pPr>
        <w:pStyle w:val="Normal"/>
        <w:spacing w:lineRule="auto" w:line="276"/>
        <w:jc w:val="center"/>
        <w:rPr>
          <w:rFonts w:ascii="Verdana" w:hAnsi="Verdana" w:cs="Verdana"/>
          <w:b/>
          <w:bCs/>
          <w:sz w:val="20"/>
          <w:szCs w:val="20"/>
        </w:rPr>
      </w:pPr>
      <w:r>
        <w:rPr>
          <w:rFonts w:cs="Verdana" w:ascii="Verdana" w:hAnsi="Verdana"/>
          <w:b/>
          <w:bCs/>
          <w:sz w:val="20"/>
          <w:szCs w:val="20"/>
          <w:u w:val="single"/>
        </w:rPr>
        <w:t>V – DAS IMPUGNAÇÕES</w:t>
      </w:r>
    </w:p>
    <w:p>
      <w:pPr>
        <w:pStyle w:val="Normal"/>
        <w:spacing w:lineRule="auto" w:line="276"/>
        <w:jc w:val="both"/>
        <w:rPr>
          <w:rFonts w:ascii="Verdana" w:hAnsi="Verdana" w:cs="Verdana"/>
          <w:b/>
          <w:bCs/>
          <w:sz w:val="20"/>
          <w:szCs w:val="20"/>
        </w:rPr>
      </w:pPr>
      <w:r>
        <w:rPr>
          <w:rFonts w:cs="Verdana" w:ascii="Verdana" w:hAnsi="Verdana"/>
          <w:b/>
          <w:bCs/>
          <w:sz w:val="20"/>
          <w:szCs w:val="20"/>
        </w:rPr>
        <w:t>5.1 –</w:t>
      </w:r>
      <w:r>
        <w:rPr>
          <w:rFonts w:cs="Verdana" w:ascii="Verdana" w:hAnsi="Verdana"/>
          <w:sz w:val="20"/>
          <w:szCs w:val="20"/>
        </w:rPr>
        <w:t xml:space="preserve"> As empresas interessadas em participar do certame deverão retirar o edital no site </w:t>
      </w:r>
      <w:hyperlink r:id="rId2">
        <w:r>
          <w:rPr>
            <w:rStyle w:val="Hyperlink"/>
            <w:rFonts w:cs="Verdana" w:ascii="Verdana" w:hAnsi="Verdana"/>
            <w:b/>
            <w:bCs/>
            <w:color w:val="000000"/>
            <w:sz w:val="20"/>
            <w:szCs w:val="20"/>
          </w:rPr>
          <w:t>www.saogabriel.es.gov.br</w:t>
        </w:r>
      </w:hyperlink>
      <w:r>
        <w:rPr>
          <w:rFonts w:cs="Verdana" w:ascii="Verdana" w:hAnsi="Verdana"/>
          <w:sz w:val="20"/>
          <w:szCs w:val="20"/>
        </w:rPr>
        <w:t>, ficando obrigadas a acompanhar as publicações referentes à convocação deste certame no Diário Oficial do Estado e no Diário Oficial dos Municípios do Espírito Santo tendo em vista a possibilidade de alterações e avisos sobre o procedimento.</w:t>
      </w:r>
    </w:p>
    <w:p>
      <w:pPr>
        <w:pStyle w:val="Normal"/>
        <w:spacing w:lineRule="auto" w:line="276"/>
        <w:jc w:val="both"/>
        <w:rPr>
          <w:rFonts w:ascii="Verdana" w:hAnsi="Verdana" w:cs="Verdana"/>
          <w:b/>
          <w:bCs/>
          <w:sz w:val="20"/>
          <w:szCs w:val="20"/>
        </w:rPr>
      </w:pPr>
      <w:r>
        <w:rPr>
          <w:rFonts w:cs="Verdana" w:ascii="Verdana" w:hAnsi="Verdana"/>
          <w:b/>
          <w:bCs/>
          <w:sz w:val="20"/>
          <w:szCs w:val="20"/>
        </w:rPr>
        <w:t xml:space="preserve">5.2 – </w:t>
      </w:r>
      <w:r>
        <w:rPr>
          <w:rFonts w:cs="Verdana" w:ascii="Verdana" w:hAnsi="Verdana"/>
          <w:sz w:val="20"/>
          <w:szCs w:val="20"/>
        </w:rPr>
        <w:t xml:space="preserve">A impugnação do edital deverá ser promovida através de protocolo no Protocolo Geral do Município ou enviada para o endereço eletrônico </w:t>
      </w:r>
      <w:hyperlink r:id="rId3">
        <w:r>
          <w:rPr>
            <w:rStyle w:val="Hyperlink"/>
            <w:rFonts w:cs="Verdana" w:ascii="Verdana" w:hAnsi="Verdana"/>
            <w:b/>
            <w:bCs/>
            <w:color w:val="000000"/>
            <w:sz w:val="20"/>
            <w:szCs w:val="20"/>
          </w:rPr>
          <w:t>licitacao@saogabriel.es.gov.br</w:t>
        </w:r>
      </w:hyperlink>
      <w:r>
        <w:rPr>
          <w:rFonts w:cs="Verdana" w:ascii="Verdana" w:hAnsi="Verdana"/>
          <w:sz w:val="20"/>
          <w:szCs w:val="20"/>
        </w:rPr>
        <w:t>, até 3 (três) dias úteis antes da data fixada para abertura da sessão pública.</w:t>
      </w:r>
    </w:p>
    <w:p>
      <w:pPr>
        <w:pStyle w:val="Normal"/>
        <w:spacing w:lineRule="auto" w:line="276"/>
        <w:jc w:val="both"/>
        <w:rPr>
          <w:rFonts w:ascii="Verdana" w:hAnsi="Verdana" w:cs="Verdana"/>
          <w:b/>
          <w:bCs/>
          <w:sz w:val="20"/>
          <w:szCs w:val="20"/>
        </w:rPr>
      </w:pPr>
      <w:r>
        <w:rPr>
          <w:rFonts w:cs="Verdana" w:ascii="Verdana" w:hAnsi="Verdana"/>
          <w:b/>
          <w:bCs/>
          <w:sz w:val="20"/>
          <w:szCs w:val="20"/>
        </w:rPr>
        <w:t>5.3 –</w:t>
      </w:r>
      <w:r>
        <w:rPr>
          <w:rFonts w:cs="Verdana" w:ascii="Verdana" w:hAnsi="Verdana"/>
          <w:sz w:val="20"/>
          <w:szCs w:val="20"/>
        </w:rPr>
        <w:t xml:space="preserve"> A impugnação do edital deverá ser dirigida ao Pregoeiro Oficial, indicando os números do Pregão e do Processo Administrativo, assim como o telefone e o e-mail do impugnante. No mesmo momento deverá ser juntado documento que comprove a aptidão do signatário para a representação da empresa licitante. </w:t>
      </w:r>
    </w:p>
    <w:p>
      <w:pPr>
        <w:pStyle w:val="Normal"/>
        <w:spacing w:lineRule="auto" w:line="276"/>
        <w:jc w:val="both"/>
        <w:rPr>
          <w:rFonts w:ascii="Verdana" w:hAnsi="Verdana" w:cs="Verdana"/>
          <w:b/>
          <w:bCs/>
          <w:sz w:val="20"/>
          <w:szCs w:val="20"/>
        </w:rPr>
      </w:pPr>
      <w:r>
        <w:rPr>
          <w:rFonts w:cs="Verdana" w:ascii="Verdana" w:hAnsi="Verdana"/>
          <w:b/>
          <w:bCs/>
          <w:sz w:val="20"/>
          <w:szCs w:val="20"/>
        </w:rPr>
        <w:t>5.4 –</w:t>
      </w:r>
      <w:r>
        <w:rPr>
          <w:rFonts w:cs="Verdana" w:ascii="Verdana" w:hAnsi="Verdana"/>
          <w:sz w:val="20"/>
          <w:szCs w:val="20"/>
        </w:rPr>
        <w:t xml:space="preserve"> O Pregoeiro decidirá sobre a impugnação no prazo de 24 (vinte e quatro) horas, informando ao interessado sobre a sua decisão. </w:t>
      </w:r>
    </w:p>
    <w:p>
      <w:pPr>
        <w:pStyle w:val="Normal"/>
        <w:spacing w:lineRule="auto" w:line="276"/>
        <w:jc w:val="both"/>
        <w:rPr>
          <w:rFonts w:ascii="Verdana" w:hAnsi="Verdana" w:eastAsia="Batang;바탕" w:cs="Verdana"/>
          <w:b/>
          <w:sz w:val="20"/>
          <w:szCs w:val="20"/>
          <w:u w:val="single"/>
        </w:rPr>
      </w:pPr>
      <w:r>
        <w:rPr>
          <w:rFonts w:cs="Verdana" w:ascii="Verdana" w:hAnsi="Verdana"/>
          <w:b/>
          <w:bCs/>
          <w:sz w:val="20"/>
          <w:szCs w:val="20"/>
        </w:rPr>
        <w:t>5.5 –</w:t>
      </w:r>
      <w:r>
        <w:rPr>
          <w:rFonts w:cs="Verdana" w:ascii="Verdana" w:hAnsi="Verdana"/>
          <w:sz w:val="20"/>
          <w:szCs w:val="20"/>
        </w:rPr>
        <w:t xml:space="preserve"> </w:t>
      </w:r>
      <w:r>
        <w:rPr>
          <w:rFonts w:eastAsia="Batang;바탕" w:cs="Verdana" w:ascii="Verdana" w:hAnsi="Verdana"/>
          <w:b/>
          <w:sz w:val="20"/>
          <w:szCs w:val="20"/>
          <w:u w:val="single"/>
        </w:rPr>
        <w:t>No caso de acolhimento da impugnação, será designada nova data para a realização do certame, exceto quando, inquestionavelmente, a alteração não afetar a formulação das propostas.</w:t>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center"/>
        <w:rPr>
          <w:rFonts w:ascii="Verdana" w:hAnsi="Verdana" w:eastAsia="Batang;바탕" w:cs="Verdana"/>
          <w:b/>
          <w:sz w:val="20"/>
          <w:szCs w:val="20"/>
          <w:u w:val="single"/>
        </w:rPr>
      </w:pPr>
      <w:r>
        <w:rPr>
          <w:rFonts w:eastAsia="Batang;바탕" w:cs="Verdana" w:ascii="Verdana" w:hAnsi="Verdana"/>
          <w:b/>
          <w:sz w:val="20"/>
          <w:szCs w:val="20"/>
          <w:u w:val="single"/>
        </w:rPr>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center"/>
        <w:rPr>
          <w:rFonts w:ascii="Verdana" w:hAnsi="Verdana" w:cs="Verdana"/>
          <w:sz w:val="20"/>
          <w:szCs w:val="20"/>
        </w:rPr>
      </w:pPr>
      <w:r>
        <w:rPr>
          <w:rFonts w:eastAsia="Batang;바탕" w:cs="Verdana" w:ascii="Verdana" w:hAnsi="Verdana"/>
          <w:b/>
          <w:sz w:val="20"/>
          <w:szCs w:val="20"/>
          <w:u w:val="single"/>
        </w:rPr>
        <w:t>VI – PARTICIPAÇÃO</w:t>
      </w:r>
    </w:p>
    <w:p>
      <w:pPr>
        <w:pStyle w:val="Normal"/>
        <w:numPr>
          <w:ilvl w:val="1"/>
          <w:numId w:val="11"/>
        </w:numPr>
        <w:tabs>
          <w:tab w:val="clear" w:pos="709"/>
          <w:tab w:val="left" w:pos="402" w:leader="none"/>
        </w:tabs>
        <w:spacing w:lineRule="auto" w:line="276"/>
        <w:ind w:hanging="0" w:left="0" w:right="0"/>
        <w:jc w:val="both"/>
        <w:rPr>
          <w:rFonts w:ascii="Verdana" w:hAnsi="Verdana" w:eastAsia="Verdana" w:cs="Verdana"/>
          <w:sz w:val="20"/>
          <w:szCs w:val="20"/>
        </w:rPr>
      </w:pPr>
      <w:r>
        <w:rPr>
          <w:rFonts w:cs="Verdana" w:ascii="Verdana" w:hAnsi="Verdana"/>
          <w:sz w:val="20"/>
          <w:szCs w:val="20"/>
        </w:rPr>
        <w:t>Poderão participar deste PREGÃO, somente pessoas jurídicas, cujo o objeto social seja compatível com o objeto ora licitado.</w:t>
      </w:r>
    </w:p>
    <w:p>
      <w:pPr>
        <w:pStyle w:val="Normal"/>
        <w:numPr>
          <w:ilvl w:val="1"/>
          <w:numId w:val="11"/>
        </w:numPr>
        <w:tabs>
          <w:tab w:val="clear" w:pos="709"/>
          <w:tab w:val="left" w:pos="402" w:leader="none"/>
        </w:tabs>
        <w:spacing w:lineRule="auto" w:line="276"/>
        <w:ind w:hanging="0" w:left="0" w:right="0"/>
        <w:jc w:val="both"/>
        <w:rPr>
          <w:rFonts w:ascii="Verdana" w:hAnsi="Verdana" w:eastAsia="Verdana" w:cs="Verdana"/>
          <w:sz w:val="20"/>
          <w:szCs w:val="20"/>
        </w:rPr>
      </w:pPr>
      <w:r>
        <w:rPr>
          <w:rFonts w:eastAsia="Batang;바탕" w:cs="Verdana" w:ascii="Verdana" w:hAnsi="Verdana"/>
          <w:sz w:val="20"/>
          <w:szCs w:val="20"/>
        </w:rPr>
        <w:t>Não serão admitidas à participação nesta Licitação de empresas que estejam cumprindo pena de suspensão temporária de participação em licitação e/ou impedimento de contratar com esta Administração Pública, que tenham sido declaradas inidôneas para licitar ou contratar com qualquer órgão público ou que se subsumam as disposições contidas na Lei nº 14.133/21, consolidada.</w:t>
      </w:r>
    </w:p>
    <w:p>
      <w:pPr>
        <w:pStyle w:val="Normal"/>
        <w:numPr>
          <w:ilvl w:val="1"/>
          <w:numId w:val="11"/>
        </w:numPr>
        <w:tabs>
          <w:tab w:val="clear" w:pos="709"/>
          <w:tab w:val="left" w:pos="402" w:leader="none"/>
        </w:tabs>
        <w:spacing w:lineRule="auto" w:line="276"/>
        <w:ind w:hanging="0" w:left="0" w:right="0"/>
        <w:jc w:val="both"/>
        <w:rPr>
          <w:rFonts w:ascii="Verdana" w:hAnsi="Verdana" w:eastAsia="Verdana" w:cs="Verdana"/>
          <w:sz w:val="20"/>
          <w:szCs w:val="20"/>
        </w:rPr>
      </w:pPr>
      <w:r>
        <w:rPr>
          <w:rFonts w:cs="Verdana" w:ascii="Verdana" w:hAnsi="Verdana"/>
          <w:sz w:val="20"/>
          <w:szCs w:val="20"/>
        </w:rPr>
        <w:t>A apresentação das propostas, sem prévia impugnação dos termos do edital, implicará a presunção absoluta de que a empresa participante examinou completamente todas as especificações e toda a documentação exigida e obteve informações satisfatórias sobre todo e qualquer ponto duvidoso, antes de preparar a sua documentação ou proposta.</w:t>
      </w:r>
    </w:p>
    <w:p>
      <w:pPr>
        <w:pStyle w:val="Normal"/>
        <w:numPr>
          <w:ilvl w:val="1"/>
          <w:numId w:val="11"/>
        </w:numPr>
        <w:tabs>
          <w:tab w:val="clear" w:pos="709"/>
          <w:tab w:val="left" w:pos="402" w:leader="none"/>
        </w:tabs>
        <w:spacing w:lineRule="auto" w:line="276"/>
        <w:ind w:hanging="0" w:left="0" w:right="0"/>
        <w:jc w:val="both"/>
        <w:rPr>
          <w:rFonts w:ascii="Verdana" w:hAnsi="Verdana" w:eastAsia="Verdana" w:cs="Verdana"/>
          <w:sz w:val="20"/>
          <w:szCs w:val="20"/>
        </w:rPr>
      </w:pPr>
      <w:r>
        <w:rPr>
          <w:rFonts w:cs="Verdana" w:ascii="Verdana" w:hAnsi="Verdana"/>
          <w:sz w:val="20"/>
          <w:szCs w:val="20"/>
        </w:rPr>
        <w:t>Todas as partes deste edital são complementares entre si, de tal modo que qualquer detalhe que se mencione em uma delas considerar-se-á especificado e válido para todas as demais, fazendo parte integrante deste todo.</w:t>
      </w:r>
    </w:p>
    <w:p>
      <w:pPr>
        <w:pStyle w:val="Normal"/>
        <w:numPr>
          <w:ilvl w:val="1"/>
          <w:numId w:val="11"/>
        </w:numPr>
        <w:tabs>
          <w:tab w:val="clear" w:pos="709"/>
          <w:tab w:val="left" w:pos="402" w:leader="none"/>
        </w:tabs>
        <w:spacing w:lineRule="auto" w:line="276"/>
        <w:ind w:hanging="0" w:left="0" w:right="0"/>
        <w:jc w:val="both"/>
        <w:rPr>
          <w:rFonts w:ascii="Verdana" w:hAnsi="Verdana" w:eastAsia="Verdana" w:cs="Verdana"/>
          <w:sz w:val="20"/>
          <w:szCs w:val="20"/>
        </w:rPr>
      </w:pPr>
      <w:r>
        <w:rPr>
          <w:rFonts w:eastAsia="Batang;바탕" w:cs="Verdana" w:ascii="Verdana" w:hAnsi="Verdana"/>
          <w:sz w:val="20"/>
          <w:szCs w:val="20"/>
        </w:rPr>
        <w:t>Até o dia xx de outubro de 2024 as 12h30min</w:t>
      </w:r>
      <w:r>
        <w:rPr>
          <w:rFonts w:eastAsia="Arial" w:cs="Verdana" w:ascii="Verdana" w:hAnsi="Verdana"/>
          <w:sz w:val="20"/>
          <w:szCs w:val="20"/>
        </w:rPr>
        <w:t>,</w:t>
      </w:r>
      <w:r>
        <w:rPr>
          <w:rFonts w:eastAsia="Batang;바탕" w:cs="Verdana" w:ascii="Verdana" w:hAnsi="Verdana"/>
          <w:color w:val="FF0000"/>
          <w:sz w:val="20"/>
          <w:szCs w:val="20"/>
        </w:rPr>
        <w:t xml:space="preserve"> </w:t>
      </w:r>
      <w:r>
        <w:rPr>
          <w:rFonts w:eastAsia="Batang;바탕" w:cs="Verdana" w:ascii="Verdana" w:hAnsi="Verdana"/>
          <w:sz w:val="20"/>
          <w:szCs w:val="20"/>
        </w:rPr>
        <w:t xml:space="preserve">o licitante deverá protocolar os envelopes (DOCUMENTAÇÃO e PROPOSTA) referentes a este Pregão no Protocolo Geral desta Prefeitura Municipal, localizado no prédio da Prefeitura, </w:t>
      </w:r>
      <w:r>
        <w:rPr>
          <w:rFonts w:cs="Verdana" w:ascii="Verdana" w:hAnsi="Verdana"/>
          <w:sz w:val="20"/>
          <w:szCs w:val="20"/>
        </w:rPr>
        <w:t>situado à Praça Vicente Glazar nº 159, Centro, São Gabriel da Palha/ES.</w:t>
      </w:r>
    </w:p>
    <w:p>
      <w:pPr>
        <w:pStyle w:val="Normal"/>
        <w:numPr>
          <w:ilvl w:val="1"/>
          <w:numId w:val="11"/>
        </w:numPr>
        <w:tabs>
          <w:tab w:val="clear" w:pos="709"/>
          <w:tab w:val="left" w:pos="402" w:leader="none"/>
        </w:tabs>
        <w:spacing w:lineRule="auto" w:line="276"/>
        <w:ind w:hanging="0" w:left="0" w:right="0"/>
        <w:jc w:val="both"/>
        <w:rPr>
          <w:rFonts w:ascii="Verdana" w:hAnsi="Verdana" w:eastAsia="Verdana" w:cs="Verdana"/>
          <w:sz w:val="20"/>
          <w:szCs w:val="20"/>
        </w:rPr>
      </w:pPr>
      <w:r>
        <w:rPr>
          <w:rFonts w:cs="Verdana" w:ascii="Verdana" w:hAnsi="Verdana"/>
          <w:sz w:val="20"/>
          <w:szCs w:val="20"/>
        </w:rPr>
        <w:t>A</w:t>
      </w:r>
      <w:r>
        <w:rPr>
          <w:rFonts w:cs="Verdana" w:ascii="Verdana" w:hAnsi="Verdana"/>
          <w:spacing w:val="-26"/>
          <w:sz w:val="20"/>
          <w:szCs w:val="20"/>
        </w:rPr>
        <w:t xml:space="preserve"> </w:t>
      </w:r>
      <w:r>
        <w:rPr>
          <w:rFonts w:cs="Verdana" w:ascii="Verdana" w:hAnsi="Verdana"/>
          <w:sz w:val="20"/>
          <w:szCs w:val="20"/>
        </w:rPr>
        <w:t>vedação</w:t>
      </w:r>
      <w:r>
        <w:rPr>
          <w:rFonts w:cs="Verdana" w:ascii="Verdana" w:hAnsi="Verdana"/>
          <w:spacing w:val="-26"/>
          <w:sz w:val="20"/>
          <w:szCs w:val="20"/>
        </w:rPr>
        <w:t xml:space="preserve"> </w:t>
      </w:r>
      <w:r>
        <w:rPr>
          <w:rFonts w:cs="Verdana" w:ascii="Verdana" w:hAnsi="Verdana"/>
          <w:sz w:val="20"/>
          <w:szCs w:val="20"/>
        </w:rPr>
        <w:t>à</w:t>
      </w:r>
      <w:r>
        <w:rPr>
          <w:rFonts w:cs="Verdana" w:ascii="Verdana" w:hAnsi="Verdana"/>
          <w:spacing w:val="-23"/>
          <w:sz w:val="20"/>
          <w:szCs w:val="20"/>
        </w:rPr>
        <w:t xml:space="preserve"> </w:t>
      </w:r>
      <w:r>
        <w:rPr>
          <w:rFonts w:cs="Verdana" w:ascii="Verdana" w:hAnsi="Verdana"/>
          <w:sz w:val="20"/>
          <w:szCs w:val="20"/>
        </w:rPr>
        <w:t>participação</w:t>
      </w:r>
      <w:r>
        <w:rPr>
          <w:rFonts w:cs="Verdana" w:ascii="Verdana" w:hAnsi="Verdana"/>
          <w:spacing w:val="-19"/>
          <w:sz w:val="20"/>
          <w:szCs w:val="20"/>
        </w:rPr>
        <w:t xml:space="preserve"> </w:t>
      </w:r>
      <w:r>
        <w:rPr>
          <w:rFonts w:cs="Verdana" w:ascii="Verdana" w:hAnsi="Verdana"/>
          <w:sz w:val="20"/>
          <w:szCs w:val="20"/>
        </w:rPr>
        <w:t>de</w:t>
      </w:r>
      <w:r>
        <w:rPr>
          <w:rFonts w:cs="Verdana" w:ascii="Verdana" w:hAnsi="Verdana"/>
          <w:spacing w:val="-21"/>
          <w:sz w:val="20"/>
          <w:szCs w:val="20"/>
        </w:rPr>
        <w:t xml:space="preserve"> </w:t>
      </w:r>
      <w:r>
        <w:rPr>
          <w:rFonts w:cs="Verdana" w:ascii="Verdana" w:hAnsi="Verdana"/>
          <w:sz w:val="20"/>
          <w:szCs w:val="20"/>
        </w:rPr>
        <w:t>interessadas</w:t>
      </w:r>
      <w:r>
        <w:rPr>
          <w:rFonts w:cs="Verdana" w:ascii="Verdana" w:hAnsi="Verdana"/>
          <w:spacing w:val="-18"/>
          <w:sz w:val="20"/>
          <w:szCs w:val="20"/>
        </w:rPr>
        <w:t xml:space="preserve"> </w:t>
      </w:r>
      <w:r>
        <w:rPr>
          <w:rFonts w:cs="Verdana" w:ascii="Verdana" w:hAnsi="Verdana"/>
          <w:sz w:val="20"/>
          <w:szCs w:val="20"/>
        </w:rPr>
        <w:t>que</w:t>
      </w:r>
      <w:r>
        <w:rPr>
          <w:rFonts w:cs="Verdana" w:ascii="Verdana" w:hAnsi="Verdana"/>
          <w:spacing w:val="-21"/>
          <w:sz w:val="20"/>
          <w:szCs w:val="20"/>
        </w:rPr>
        <w:t xml:space="preserve"> </w:t>
      </w:r>
      <w:r>
        <w:rPr>
          <w:rFonts w:cs="Verdana" w:ascii="Verdana" w:hAnsi="Verdana"/>
          <w:sz w:val="20"/>
          <w:szCs w:val="20"/>
        </w:rPr>
        <w:t>se</w:t>
      </w:r>
      <w:r>
        <w:rPr>
          <w:rFonts w:cs="Verdana" w:ascii="Verdana" w:hAnsi="Verdana"/>
          <w:spacing w:val="-16"/>
          <w:sz w:val="20"/>
          <w:szCs w:val="20"/>
        </w:rPr>
        <w:t xml:space="preserve"> </w:t>
      </w:r>
      <w:r>
        <w:rPr>
          <w:rFonts w:cs="Verdana" w:ascii="Verdana" w:hAnsi="Verdana"/>
          <w:sz w:val="20"/>
          <w:szCs w:val="20"/>
        </w:rPr>
        <w:t>apresentem</w:t>
      </w:r>
      <w:r>
        <w:rPr>
          <w:rFonts w:cs="Verdana" w:ascii="Verdana" w:hAnsi="Verdana"/>
          <w:spacing w:val="-19"/>
          <w:sz w:val="20"/>
          <w:szCs w:val="20"/>
        </w:rPr>
        <w:t xml:space="preserve"> </w:t>
      </w:r>
      <w:r>
        <w:rPr>
          <w:rFonts w:cs="Verdana" w:ascii="Verdana" w:hAnsi="Verdana"/>
          <w:sz w:val="20"/>
          <w:szCs w:val="20"/>
        </w:rPr>
        <w:t>constituídas</w:t>
      </w:r>
      <w:r>
        <w:rPr>
          <w:rFonts w:cs="Verdana" w:ascii="Verdana" w:hAnsi="Verdana"/>
          <w:spacing w:val="-19"/>
          <w:sz w:val="20"/>
          <w:szCs w:val="20"/>
        </w:rPr>
        <w:t xml:space="preserve"> </w:t>
      </w:r>
      <w:r>
        <w:rPr>
          <w:rFonts w:cs="Verdana" w:ascii="Verdana" w:hAnsi="Verdana"/>
          <w:sz w:val="20"/>
          <w:szCs w:val="20"/>
        </w:rPr>
        <w:t>sob a</w:t>
      </w:r>
      <w:r>
        <w:rPr>
          <w:rFonts w:cs="Verdana" w:ascii="Verdana" w:hAnsi="Verdana"/>
          <w:spacing w:val="-2"/>
          <w:sz w:val="20"/>
          <w:szCs w:val="20"/>
        </w:rPr>
        <w:t xml:space="preserve"> </w:t>
      </w:r>
      <w:r>
        <w:rPr>
          <w:rFonts w:cs="Verdana" w:ascii="Verdana" w:hAnsi="Verdana"/>
          <w:sz w:val="20"/>
          <w:szCs w:val="20"/>
        </w:rPr>
        <w:t>forma</w:t>
      </w:r>
      <w:r>
        <w:rPr>
          <w:rFonts w:cs="Verdana" w:ascii="Verdana" w:hAnsi="Verdana"/>
          <w:spacing w:val="-2"/>
          <w:sz w:val="20"/>
          <w:szCs w:val="20"/>
        </w:rPr>
        <w:t xml:space="preserve"> </w:t>
      </w:r>
      <w:r>
        <w:rPr>
          <w:rFonts w:cs="Verdana" w:ascii="Verdana" w:hAnsi="Verdana"/>
          <w:sz w:val="20"/>
          <w:szCs w:val="20"/>
        </w:rPr>
        <w:t>de consórcio se</w:t>
      </w:r>
      <w:r>
        <w:rPr>
          <w:rFonts w:cs="Verdana" w:ascii="Verdana" w:hAnsi="Verdana"/>
          <w:spacing w:val="-2"/>
          <w:sz w:val="20"/>
          <w:szCs w:val="20"/>
        </w:rPr>
        <w:t xml:space="preserve"> </w:t>
      </w:r>
      <w:r>
        <w:rPr>
          <w:rFonts w:cs="Verdana" w:ascii="Verdana" w:hAnsi="Verdana"/>
          <w:sz w:val="20"/>
          <w:szCs w:val="20"/>
        </w:rPr>
        <w:t>justifica</w:t>
      </w:r>
      <w:r>
        <w:rPr>
          <w:rFonts w:cs="Verdana" w:ascii="Verdana" w:hAnsi="Verdana"/>
          <w:spacing w:val="-2"/>
          <w:sz w:val="20"/>
          <w:szCs w:val="20"/>
        </w:rPr>
        <w:t xml:space="preserve"> </w:t>
      </w:r>
      <w:r>
        <w:rPr>
          <w:rFonts w:cs="Verdana" w:ascii="Verdana" w:hAnsi="Verdana"/>
          <w:sz w:val="20"/>
          <w:szCs w:val="20"/>
        </w:rPr>
        <w:t>na</w:t>
      </w:r>
      <w:r>
        <w:rPr>
          <w:rFonts w:cs="Verdana" w:ascii="Verdana" w:hAnsi="Verdana"/>
          <w:spacing w:val="-2"/>
          <w:sz w:val="20"/>
          <w:szCs w:val="20"/>
        </w:rPr>
        <w:t xml:space="preserve"> </w:t>
      </w:r>
      <w:r>
        <w:rPr>
          <w:rFonts w:cs="Verdana" w:ascii="Verdana" w:hAnsi="Verdana"/>
          <w:sz w:val="20"/>
          <w:szCs w:val="20"/>
        </w:rPr>
        <w:t>medida</w:t>
      </w:r>
      <w:r>
        <w:rPr>
          <w:rFonts w:cs="Verdana" w:ascii="Verdana" w:hAnsi="Verdana"/>
          <w:spacing w:val="-2"/>
          <w:sz w:val="20"/>
          <w:szCs w:val="20"/>
        </w:rPr>
        <w:t xml:space="preserve"> </w:t>
      </w:r>
      <w:r>
        <w:rPr>
          <w:rFonts w:cs="Verdana" w:ascii="Verdana" w:hAnsi="Verdana"/>
          <w:sz w:val="20"/>
          <w:szCs w:val="20"/>
        </w:rPr>
        <w:t>em que</w:t>
      </w:r>
      <w:r>
        <w:rPr>
          <w:rFonts w:cs="Verdana" w:ascii="Verdana" w:hAnsi="Verdana"/>
          <w:spacing w:val="-2"/>
          <w:sz w:val="20"/>
          <w:szCs w:val="20"/>
        </w:rPr>
        <w:t xml:space="preserve"> </w:t>
      </w:r>
      <w:r>
        <w:rPr>
          <w:rFonts w:cs="Verdana" w:ascii="Verdana" w:hAnsi="Verdana"/>
          <w:sz w:val="20"/>
          <w:szCs w:val="20"/>
        </w:rPr>
        <w:t>nas contratações de</w:t>
      </w:r>
      <w:r>
        <w:rPr>
          <w:rFonts w:cs="Verdana" w:ascii="Verdana" w:hAnsi="Verdana"/>
          <w:spacing w:val="-2"/>
          <w:sz w:val="20"/>
          <w:szCs w:val="20"/>
        </w:rPr>
        <w:t xml:space="preserve"> </w:t>
      </w:r>
      <w:r>
        <w:rPr>
          <w:rFonts w:cs="Verdana" w:ascii="Verdana" w:hAnsi="Verdana"/>
          <w:sz w:val="20"/>
          <w:szCs w:val="20"/>
        </w:rPr>
        <w:t>fornecimento/serviços comuns, perfeitamente pertinente e compatível para empresas atuantes do ramo licitado, é bastante</w:t>
      </w:r>
      <w:r>
        <w:rPr>
          <w:rFonts w:cs="Verdana" w:ascii="Verdana" w:hAnsi="Verdana"/>
          <w:spacing w:val="-26"/>
          <w:sz w:val="20"/>
          <w:szCs w:val="20"/>
        </w:rPr>
        <w:t xml:space="preserve"> </w:t>
      </w:r>
      <w:r>
        <w:rPr>
          <w:rFonts w:cs="Verdana" w:ascii="Verdana" w:hAnsi="Verdana"/>
          <w:sz w:val="20"/>
          <w:szCs w:val="20"/>
        </w:rPr>
        <w:t>comum</w:t>
      </w:r>
      <w:r>
        <w:rPr>
          <w:rFonts w:cs="Verdana" w:ascii="Verdana" w:hAnsi="Verdana"/>
          <w:spacing w:val="-26"/>
          <w:sz w:val="20"/>
          <w:szCs w:val="20"/>
        </w:rPr>
        <w:t xml:space="preserve"> </w:t>
      </w:r>
      <w:r>
        <w:rPr>
          <w:rFonts w:cs="Verdana" w:ascii="Verdana" w:hAnsi="Verdana"/>
          <w:sz w:val="20"/>
          <w:szCs w:val="20"/>
        </w:rPr>
        <w:t>a</w:t>
      </w:r>
      <w:r>
        <w:rPr>
          <w:rFonts w:cs="Verdana" w:ascii="Verdana" w:hAnsi="Verdana"/>
          <w:spacing w:val="-26"/>
          <w:sz w:val="20"/>
          <w:szCs w:val="20"/>
        </w:rPr>
        <w:t xml:space="preserve"> </w:t>
      </w:r>
      <w:r>
        <w:rPr>
          <w:rFonts w:cs="Verdana" w:ascii="Verdana" w:hAnsi="Verdana"/>
          <w:sz w:val="20"/>
          <w:szCs w:val="20"/>
        </w:rPr>
        <w:t>participação</w:t>
      </w:r>
      <w:r>
        <w:rPr>
          <w:rFonts w:cs="Verdana" w:ascii="Verdana" w:hAnsi="Verdana"/>
          <w:spacing w:val="-26"/>
          <w:sz w:val="20"/>
          <w:szCs w:val="20"/>
        </w:rPr>
        <w:t xml:space="preserve"> </w:t>
      </w:r>
      <w:r>
        <w:rPr>
          <w:rFonts w:cs="Verdana" w:ascii="Verdana" w:hAnsi="Verdana"/>
          <w:sz w:val="20"/>
          <w:szCs w:val="20"/>
        </w:rPr>
        <w:t>de</w:t>
      </w:r>
      <w:r>
        <w:rPr>
          <w:rFonts w:cs="Verdana" w:ascii="Verdana" w:hAnsi="Verdana"/>
          <w:spacing w:val="-26"/>
          <w:sz w:val="20"/>
          <w:szCs w:val="20"/>
        </w:rPr>
        <w:t xml:space="preserve"> </w:t>
      </w:r>
      <w:r>
        <w:rPr>
          <w:rFonts w:cs="Verdana" w:ascii="Verdana" w:hAnsi="Verdana"/>
          <w:sz w:val="20"/>
          <w:szCs w:val="20"/>
        </w:rPr>
        <w:t>empresas</w:t>
      </w:r>
      <w:r>
        <w:rPr>
          <w:rFonts w:cs="Verdana" w:ascii="Verdana" w:hAnsi="Verdana"/>
          <w:spacing w:val="-26"/>
          <w:sz w:val="20"/>
          <w:szCs w:val="20"/>
        </w:rPr>
        <w:t xml:space="preserve"> </w:t>
      </w:r>
      <w:r>
        <w:rPr>
          <w:rFonts w:cs="Verdana" w:ascii="Verdana" w:hAnsi="Verdana"/>
          <w:sz w:val="20"/>
          <w:szCs w:val="20"/>
        </w:rPr>
        <w:t>de</w:t>
      </w:r>
      <w:r>
        <w:rPr>
          <w:rFonts w:cs="Verdana" w:ascii="Verdana" w:hAnsi="Verdana"/>
          <w:spacing w:val="-26"/>
          <w:sz w:val="20"/>
          <w:szCs w:val="20"/>
        </w:rPr>
        <w:t xml:space="preserve"> </w:t>
      </w:r>
      <w:r>
        <w:rPr>
          <w:rFonts w:cs="Verdana" w:ascii="Verdana" w:hAnsi="Verdana"/>
          <w:sz w:val="20"/>
          <w:szCs w:val="20"/>
        </w:rPr>
        <w:t>pequeno</w:t>
      </w:r>
      <w:r>
        <w:rPr>
          <w:rFonts w:cs="Verdana" w:ascii="Verdana" w:hAnsi="Verdana"/>
          <w:spacing w:val="-26"/>
          <w:sz w:val="20"/>
          <w:szCs w:val="20"/>
        </w:rPr>
        <w:t xml:space="preserve"> </w:t>
      </w:r>
      <w:r>
        <w:rPr>
          <w:rFonts w:cs="Verdana" w:ascii="Verdana" w:hAnsi="Verdana"/>
          <w:sz w:val="20"/>
          <w:szCs w:val="20"/>
        </w:rPr>
        <w:t>e</w:t>
      </w:r>
      <w:r>
        <w:rPr>
          <w:rFonts w:cs="Verdana" w:ascii="Verdana" w:hAnsi="Verdana"/>
          <w:spacing w:val="-26"/>
          <w:sz w:val="20"/>
          <w:szCs w:val="20"/>
        </w:rPr>
        <w:t xml:space="preserve"> </w:t>
      </w:r>
      <w:r>
        <w:rPr>
          <w:rFonts w:cs="Verdana" w:ascii="Verdana" w:hAnsi="Verdana"/>
          <w:sz w:val="20"/>
          <w:szCs w:val="20"/>
        </w:rPr>
        <w:t>médio</w:t>
      </w:r>
      <w:r>
        <w:rPr>
          <w:rFonts w:cs="Verdana" w:ascii="Verdana" w:hAnsi="Verdana"/>
          <w:spacing w:val="-26"/>
          <w:sz w:val="20"/>
          <w:szCs w:val="20"/>
        </w:rPr>
        <w:t xml:space="preserve"> </w:t>
      </w:r>
      <w:r>
        <w:rPr>
          <w:rFonts w:cs="Verdana" w:ascii="Verdana" w:hAnsi="Verdana"/>
          <w:sz w:val="20"/>
          <w:szCs w:val="20"/>
        </w:rPr>
        <w:t>porte,</w:t>
      </w:r>
      <w:r>
        <w:rPr>
          <w:rFonts w:cs="Verdana" w:ascii="Verdana" w:hAnsi="Verdana"/>
          <w:spacing w:val="-26"/>
          <w:sz w:val="20"/>
          <w:szCs w:val="20"/>
        </w:rPr>
        <w:t xml:space="preserve"> </w:t>
      </w:r>
      <w:r>
        <w:rPr>
          <w:rFonts w:cs="Verdana" w:ascii="Verdana" w:hAnsi="Verdana"/>
          <w:sz w:val="20"/>
          <w:szCs w:val="20"/>
        </w:rPr>
        <w:t>às</w:t>
      </w:r>
      <w:r>
        <w:rPr>
          <w:rFonts w:cs="Verdana" w:ascii="Verdana" w:hAnsi="Verdana"/>
          <w:spacing w:val="-26"/>
          <w:sz w:val="20"/>
          <w:szCs w:val="20"/>
        </w:rPr>
        <w:t xml:space="preserve"> </w:t>
      </w:r>
      <w:r>
        <w:rPr>
          <w:rFonts w:cs="Verdana" w:ascii="Verdana" w:hAnsi="Verdana"/>
          <w:sz w:val="20"/>
          <w:szCs w:val="20"/>
        </w:rPr>
        <w:t>quais,</w:t>
      </w:r>
      <w:r>
        <w:rPr>
          <w:rFonts w:cs="Verdana" w:ascii="Verdana" w:hAnsi="Verdana"/>
          <w:spacing w:val="-26"/>
          <w:sz w:val="20"/>
          <w:szCs w:val="20"/>
        </w:rPr>
        <w:t xml:space="preserve"> </w:t>
      </w:r>
      <w:r>
        <w:rPr>
          <w:rFonts w:cs="Verdana" w:ascii="Verdana" w:hAnsi="Verdana"/>
          <w:sz w:val="20"/>
          <w:szCs w:val="20"/>
        </w:rPr>
        <w:t>em</w:t>
      </w:r>
      <w:r>
        <w:rPr>
          <w:rFonts w:cs="Verdana" w:ascii="Verdana" w:hAnsi="Verdana"/>
          <w:spacing w:val="-26"/>
          <w:sz w:val="20"/>
          <w:szCs w:val="20"/>
        </w:rPr>
        <w:t xml:space="preserve"> </w:t>
      </w:r>
      <w:r>
        <w:rPr>
          <w:rFonts w:cs="Verdana" w:ascii="Verdana" w:hAnsi="Verdana"/>
          <w:sz w:val="20"/>
          <w:szCs w:val="20"/>
        </w:rPr>
        <w:t>sua</w:t>
      </w:r>
      <w:r>
        <w:rPr>
          <w:rFonts w:cs="Verdana" w:ascii="Verdana" w:hAnsi="Verdana"/>
          <w:spacing w:val="-26"/>
          <w:sz w:val="20"/>
          <w:szCs w:val="20"/>
        </w:rPr>
        <w:t xml:space="preserve"> </w:t>
      </w:r>
      <w:r>
        <w:rPr>
          <w:rFonts w:cs="Verdana" w:ascii="Verdana" w:hAnsi="Verdana"/>
          <w:sz w:val="20"/>
          <w:szCs w:val="20"/>
        </w:rPr>
        <w:t>maioria, apresentam o mínimo exigido no tocante à qualificação técnica e econômico-financeira, condições suficientes para</w:t>
      </w:r>
      <w:r>
        <w:rPr>
          <w:rFonts w:cs="Verdana" w:ascii="Verdana" w:hAnsi="Verdana"/>
          <w:spacing w:val="-2"/>
          <w:sz w:val="20"/>
          <w:szCs w:val="20"/>
        </w:rPr>
        <w:t xml:space="preserve"> </w:t>
      </w:r>
      <w:r>
        <w:rPr>
          <w:rFonts w:cs="Verdana" w:ascii="Verdana" w:hAnsi="Verdana"/>
          <w:sz w:val="20"/>
          <w:szCs w:val="20"/>
        </w:rPr>
        <w:t>a execução de</w:t>
      </w:r>
      <w:r>
        <w:rPr>
          <w:rFonts w:cs="Verdana" w:ascii="Verdana" w:hAnsi="Verdana"/>
          <w:spacing w:val="-2"/>
          <w:sz w:val="20"/>
          <w:szCs w:val="20"/>
        </w:rPr>
        <w:t xml:space="preserve"> </w:t>
      </w:r>
      <w:r>
        <w:rPr>
          <w:rFonts w:cs="Verdana" w:ascii="Verdana" w:hAnsi="Verdana"/>
          <w:sz w:val="20"/>
          <w:szCs w:val="20"/>
        </w:rPr>
        <w:t>contratos dessa</w:t>
      </w:r>
      <w:r>
        <w:rPr>
          <w:rFonts w:cs="Verdana" w:ascii="Verdana" w:hAnsi="Verdana"/>
          <w:spacing w:val="-2"/>
          <w:sz w:val="20"/>
          <w:szCs w:val="20"/>
        </w:rPr>
        <w:t xml:space="preserve"> </w:t>
      </w:r>
      <w:r>
        <w:rPr>
          <w:rFonts w:cs="Verdana" w:ascii="Verdana" w:hAnsi="Verdana"/>
          <w:sz w:val="20"/>
          <w:szCs w:val="20"/>
        </w:rPr>
        <w:t>natureza, o que não tornará</w:t>
      </w:r>
      <w:r>
        <w:rPr>
          <w:rFonts w:cs="Verdana" w:ascii="Verdana" w:hAnsi="Verdana"/>
          <w:spacing w:val="-2"/>
          <w:sz w:val="20"/>
          <w:szCs w:val="20"/>
        </w:rPr>
        <w:t xml:space="preserve"> </w:t>
      </w:r>
      <w:r>
        <w:rPr>
          <w:rFonts w:cs="Verdana" w:ascii="Verdana" w:hAnsi="Verdana"/>
          <w:sz w:val="20"/>
          <w:szCs w:val="20"/>
        </w:rPr>
        <w:t>restrito</w:t>
      </w:r>
      <w:r>
        <w:rPr>
          <w:rFonts w:cs="Verdana" w:ascii="Verdana" w:hAnsi="Verdana"/>
          <w:spacing w:val="-2"/>
          <w:sz w:val="20"/>
          <w:szCs w:val="20"/>
        </w:rPr>
        <w:t xml:space="preserve"> </w:t>
      </w:r>
      <w:r>
        <w:rPr>
          <w:rFonts w:cs="Verdana" w:ascii="Verdana" w:hAnsi="Verdana"/>
          <w:sz w:val="20"/>
          <w:szCs w:val="20"/>
        </w:rPr>
        <w:t>o universo de possíveis licitantes individuais.</w:t>
      </w:r>
    </w:p>
    <w:p>
      <w:pPr>
        <w:pStyle w:val="Normal"/>
        <w:numPr>
          <w:ilvl w:val="1"/>
          <w:numId w:val="11"/>
        </w:numPr>
        <w:tabs>
          <w:tab w:val="clear" w:pos="709"/>
          <w:tab w:val="left" w:pos="402" w:leader="none"/>
        </w:tabs>
        <w:spacing w:lineRule="auto" w:line="276"/>
        <w:ind w:hanging="0" w:left="0" w:right="0"/>
        <w:jc w:val="both"/>
        <w:rPr>
          <w:rFonts w:ascii="Verdana" w:hAnsi="Verdana" w:eastAsia="Verdana" w:cs="Verdana"/>
          <w:sz w:val="20"/>
          <w:szCs w:val="20"/>
        </w:rPr>
      </w:pPr>
      <w:r>
        <w:rPr>
          <w:rFonts w:cs="Verdana" w:ascii="Verdana" w:hAnsi="Verdana"/>
          <w:sz w:val="20"/>
          <w:szCs w:val="20"/>
        </w:rPr>
        <w:t>O presente edital não prevê as condições de participação de empresas reunidas em consórcio, vez que a experiência prática demonstra que as licitações que permitem essa participação são aquelas que envolvem serviços de grande vulto e/ou de alta complexidade técnica, em que empresas, isoladamente, não teriam condições de suprir os requisitos de habilitação do edital. Nestes casos, a Administração, com vistas a aumentar o número de participantes, admite a formação de consórcio.</w:t>
      </w:r>
    </w:p>
    <w:p>
      <w:pPr>
        <w:pStyle w:val="ListParagraph"/>
        <w:tabs>
          <w:tab w:val="clear" w:pos="709"/>
          <w:tab w:val="left" w:pos="0" w:leader="none"/>
        </w:tabs>
        <w:spacing w:before="0" w:after="0"/>
        <w:ind w:left="0" w:right="170"/>
        <w:jc w:val="both"/>
        <w:rPr>
          <w:rFonts w:ascii="Verdana" w:hAnsi="Verdana" w:cs="Verdana"/>
          <w:sz w:val="20"/>
          <w:szCs w:val="20"/>
        </w:rPr>
      </w:pPr>
      <w:r>
        <w:rPr>
          <w:rFonts w:cs="Verdana" w:ascii="Verdana" w:hAnsi="Verdana"/>
          <w:sz w:val="20"/>
          <w:szCs w:val="20"/>
        </w:rPr>
        <w:t>6.7.1 aquele que mantenha vínculo de natureza técnica, comercial, econômica, financeira, trabalhista ou civil com dirigente do órgão ou entidade contratante ou com</w:t>
      </w:r>
      <w:r>
        <w:rPr>
          <w:rFonts w:cs="Verdana" w:ascii="Verdana" w:hAnsi="Verdana"/>
          <w:spacing w:val="-1"/>
          <w:sz w:val="20"/>
          <w:szCs w:val="20"/>
        </w:rPr>
        <w:t xml:space="preserve"> </w:t>
      </w:r>
      <w:r>
        <w:rPr>
          <w:rFonts w:cs="Verdana" w:ascii="Verdana" w:hAnsi="Verdana"/>
          <w:sz w:val="20"/>
          <w:szCs w:val="20"/>
        </w:rPr>
        <w:t>agente público que desempenhe função na licitação ou atue na fiscalização ou na</w:t>
      </w:r>
      <w:r>
        <w:rPr>
          <w:rFonts w:cs="Verdana" w:ascii="Verdana" w:hAnsi="Verdana"/>
          <w:spacing w:val="-1"/>
          <w:sz w:val="20"/>
          <w:szCs w:val="20"/>
        </w:rPr>
        <w:t xml:space="preserve"> </w:t>
      </w:r>
      <w:r>
        <w:rPr>
          <w:rFonts w:cs="Verdana" w:ascii="Verdana" w:hAnsi="Verdana"/>
          <w:sz w:val="20"/>
          <w:szCs w:val="20"/>
        </w:rPr>
        <w:t xml:space="preserve">gestão do contrato, ou que deles seja cônjuge, companheiro ou parente em linha reta, colateral ou por afinidade, até o terceiro </w:t>
      </w:r>
      <w:r>
        <w:rPr>
          <w:rFonts w:cs="Verdana" w:ascii="Verdana" w:hAnsi="Verdana"/>
          <w:spacing w:val="-2"/>
          <w:sz w:val="20"/>
          <w:szCs w:val="20"/>
        </w:rPr>
        <w:t>grau;</w:t>
      </w:r>
    </w:p>
    <w:p>
      <w:pPr>
        <w:pStyle w:val="ListParagraph"/>
        <w:tabs>
          <w:tab w:val="clear" w:pos="709"/>
          <w:tab w:val="left" w:pos="869" w:leader="none"/>
        </w:tabs>
        <w:spacing w:before="0" w:after="0"/>
        <w:ind w:left="0" w:right="170"/>
        <w:jc w:val="both"/>
        <w:rPr>
          <w:rFonts w:ascii="Verdana" w:hAnsi="Verdana" w:cs="Verdana"/>
          <w:sz w:val="20"/>
          <w:szCs w:val="20"/>
        </w:rPr>
      </w:pPr>
      <w:r>
        <w:rPr>
          <w:rFonts w:cs="Verdana" w:ascii="Verdana" w:hAnsi="Verdana"/>
          <w:sz w:val="20"/>
          <w:szCs w:val="20"/>
        </w:rPr>
        <w:t>6.7.2 empresas</w:t>
      </w:r>
      <w:r>
        <w:rPr>
          <w:rFonts w:cs="Verdana" w:ascii="Verdana" w:hAnsi="Verdana"/>
          <w:spacing w:val="-4"/>
          <w:sz w:val="20"/>
          <w:szCs w:val="20"/>
        </w:rPr>
        <w:t xml:space="preserve"> </w:t>
      </w:r>
      <w:r>
        <w:rPr>
          <w:rFonts w:cs="Verdana" w:ascii="Verdana" w:hAnsi="Verdana"/>
          <w:sz w:val="20"/>
          <w:szCs w:val="20"/>
        </w:rPr>
        <w:t>controladoras,</w:t>
      </w:r>
      <w:r>
        <w:rPr>
          <w:rFonts w:cs="Verdana" w:ascii="Verdana" w:hAnsi="Verdana"/>
          <w:spacing w:val="-2"/>
          <w:sz w:val="20"/>
          <w:szCs w:val="20"/>
        </w:rPr>
        <w:t xml:space="preserve"> </w:t>
      </w:r>
      <w:r>
        <w:rPr>
          <w:rFonts w:cs="Verdana" w:ascii="Verdana" w:hAnsi="Verdana"/>
          <w:sz w:val="20"/>
          <w:szCs w:val="20"/>
        </w:rPr>
        <w:t>controladas</w:t>
      </w:r>
      <w:r>
        <w:rPr>
          <w:rFonts w:cs="Verdana" w:ascii="Verdana" w:hAnsi="Verdana"/>
          <w:spacing w:val="-4"/>
          <w:sz w:val="20"/>
          <w:szCs w:val="20"/>
        </w:rPr>
        <w:t xml:space="preserve"> </w:t>
      </w:r>
      <w:r>
        <w:rPr>
          <w:rFonts w:cs="Verdana" w:ascii="Verdana" w:hAnsi="Verdana"/>
          <w:sz w:val="20"/>
          <w:szCs w:val="20"/>
        </w:rPr>
        <w:t>ou</w:t>
      </w:r>
      <w:r>
        <w:rPr>
          <w:rFonts w:cs="Verdana" w:ascii="Verdana" w:hAnsi="Verdana"/>
          <w:spacing w:val="-3"/>
          <w:sz w:val="20"/>
          <w:szCs w:val="20"/>
        </w:rPr>
        <w:t xml:space="preserve"> </w:t>
      </w:r>
      <w:r>
        <w:rPr>
          <w:rFonts w:cs="Verdana" w:ascii="Verdana" w:hAnsi="Verdana"/>
          <w:sz w:val="20"/>
          <w:szCs w:val="20"/>
        </w:rPr>
        <w:t>coligadas,</w:t>
      </w:r>
      <w:r>
        <w:rPr>
          <w:rFonts w:cs="Verdana" w:ascii="Verdana" w:hAnsi="Verdana"/>
          <w:spacing w:val="-2"/>
          <w:sz w:val="20"/>
          <w:szCs w:val="20"/>
        </w:rPr>
        <w:t xml:space="preserve"> </w:t>
      </w:r>
      <w:r>
        <w:rPr>
          <w:rFonts w:cs="Verdana" w:ascii="Verdana" w:hAnsi="Verdana"/>
          <w:sz w:val="20"/>
          <w:szCs w:val="20"/>
        </w:rPr>
        <w:t>nos</w:t>
      </w:r>
      <w:r>
        <w:rPr>
          <w:rFonts w:cs="Verdana" w:ascii="Verdana" w:hAnsi="Verdana"/>
          <w:spacing w:val="-4"/>
          <w:sz w:val="20"/>
          <w:szCs w:val="20"/>
        </w:rPr>
        <w:t xml:space="preserve"> </w:t>
      </w:r>
      <w:r>
        <w:rPr>
          <w:rFonts w:cs="Verdana" w:ascii="Verdana" w:hAnsi="Verdana"/>
          <w:sz w:val="20"/>
          <w:szCs w:val="20"/>
        </w:rPr>
        <w:t>termos</w:t>
      </w:r>
      <w:r>
        <w:rPr>
          <w:rFonts w:cs="Verdana" w:ascii="Verdana" w:hAnsi="Verdana"/>
          <w:spacing w:val="-4"/>
          <w:sz w:val="20"/>
          <w:szCs w:val="20"/>
        </w:rPr>
        <w:t xml:space="preserve"> </w:t>
      </w:r>
      <w:r>
        <w:rPr>
          <w:rFonts w:cs="Verdana" w:ascii="Verdana" w:hAnsi="Verdana"/>
          <w:sz w:val="20"/>
          <w:szCs w:val="20"/>
        </w:rPr>
        <w:t>da</w:t>
      </w:r>
      <w:r>
        <w:rPr>
          <w:rFonts w:cs="Verdana" w:ascii="Verdana" w:hAnsi="Verdana"/>
          <w:spacing w:val="-4"/>
          <w:sz w:val="20"/>
          <w:szCs w:val="20"/>
        </w:rPr>
        <w:t xml:space="preserve"> </w:t>
      </w:r>
      <w:r>
        <w:rPr>
          <w:rFonts w:cs="Verdana" w:ascii="Verdana" w:hAnsi="Verdana"/>
          <w:sz w:val="20"/>
          <w:szCs w:val="20"/>
        </w:rPr>
        <w:t>Lei</w:t>
      </w:r>
      <w:r>
        <w:rPr>
          <w:rFonts w:cs="Verdana" w:ascii="Verdana" w:hAnsi="Verdana"/>
          <w:spacing w:val="-3"/>
          <w:sz w:val="20"/>
          <w:szCs w:val="20"/>
        </w:rPr>
        <w:t xml:space="preserve"> </w:t>
      </w:r>
      <w:r>
        <w:rPr>
          <w:rFonts w:cs="Verdana" w:ascii="Verdana" w:hAnsi="Verdana"/>
          <w:sz w:val="20"/>
          <w:szCs w:val="20"/>
        </w:rPr>
        <w:t>nº</w:t>
      </w:r>
      <w:r>
        <w:rPr>
          <w:rFonts w:cs="Verdana" w:ascii="Verdana" w:hAnsi="Verdana"/>
          <w:spacing w:val="-4"/>
          <w:sz w:val="20"/>
          <w:szCs w:val="20"/>
        </w:rPr>
        <w:t xml:space="preserve"> </w:t>
      </w:r>
      <w:r>
        <w:rPr>
          <w:rFonts w:cs="Verdana" w:ascii="Verdana" w:hAnsi="Verdana"/>
          <w:sz w:val="20"/>
          <w:szCs w:val="20"/>
        </w:rPr>
        <w:t>6.404,</w:t>
      </w:r>
      <w:r>
        <w:rPr>
          <w:rFonts w:cs="Verdana" w:ascii="Verdana" w:hAnsi="Verdana"/>
          <w:spacing w:val="-3"/>
          <w:sz w:val="20"/>
          <w:szCs w:val="20"/>
        </w:rPr>
        <w:t xml:space="preserve"> </w:t>
      </w:r>
      <w:r>
        <w:rPr>
          <w:rFonts w:cs="Verdana" w:ascii="Verdana" w:hAnsi="Verdana"/>
          <w:sz w:val="20"/>
          <w:szCs w:val="20"/>
        </w:rPr>
        <w:t>de</w:t>
      </w:r>
      <w:r>
        <w:rPr>
          <w:rFonts w:cs="Verdana" w:ascii="Verdana" w:hAnsi="Verdana"/>
          <w:spacing w:val="-4"/>
          <w:sz w:val="20"/>
          <w:szCs w:val="20"/>
        </w:rPr>
        <w:t xml:space="preserve"> </w:t>
      </w:r>
      <w:r>
        <w:rPr>
          <w:rFonts w:cs="Verdana" w:ascii="Verdana" w:hAnsi="Verdana"/>
          <w:sz w:val="20"/>
          <w:szCs w:val="20"/>
        </w:rPr>
        <w:t>15</w:t>
      </w:r>
      <w:r>
        <w:rPr>
          <w:rFonts w:cs="Verdana" w:ascii="Verdana" w:hAnsi="Verdana"/>
          <w:spacing w:val="-3"/>
          <w:sz w:val="20"/>
          <w:szCs w:val="20"/>
        </w:rPr>
        <w:t xml:space="preserve"> </w:t>
      </w:r>
      <w:r>
        <w:rPr>
          <w:rFonts w:cs="Verdana" w:ascii="Verdana" w:hAnsi="Verdana"/>
          <w:sz w:val="20"/>
          <w:szCs w:val="20"/>
        </w:rPr>
        <w:t>de dezembro de 1976, concorrendo entre si;</w:t>
      </w:r>
    </w:p>
    <w:p>
      <w:pPr>
        <w:pStyle w:val="ListParagraph"/>
        <w:tabs>
          <w:tab w:val="clear" w:pos="709"/>
          <w:tab w:val="left" w:pos="869" w:leader="none"/>
        </w:tabs>
        <w:spacing w:before="0" w:after="0"/>
        <w:ind w:left="0" w:right="170"/>
        <w:jc w:val="both"/>
        <w:rPr>
          <w:rFonts w:ascii="Verdana" w:hAnsi="Verdana" w:cs="Verdana"/>
          <w:sz w:val="20"/>
          <w:szCs w:val="20"/>
        </w:rPr>
      </w:pPr>
      <w:r>
        <w:rPr>
          <w:rFonts w:cs="Verdana" w:ascii="Verdana" w:hAnsi="Verdana"/>
          <w:sz w:val="20"/>
          <w:szCs w:val="20"/>
        </w:rPr>
        <w:t>6.7.3 pessoa</w:t>
      </w:r>
      <w:r>
        <w:rPr>
          <w:rFonts w:cs="Verdana" w:ascii="Verdana" w:hAnsi="Verdana"/>
          <w:spacing w:val="-6"/>
          <w:sz w:val="20"/>
          <w:szCs w:val="20"/>
        </w:rPr>
        <w:t xml:space="preserve"> </w:t>
      </w:r>
      <w:r>
        <w:rPr>
          <w:rFonts w:cs="Verdana" w:ascii="Verdana" w:hAnsi="Verdana"/>
          <w:sz w:val="20"/>
          <w:szCs w:val="20"/>
        </w:rPr>
        <w:t>física</w:t>
      </w:r>
      <w:r>
        <w:rPr>
          <w:rFonts w:cs="Verdana" w:ascii="Verdana" w:hAnsi="Verdana"/>
          <w:spacing w:val="-7"/>
          <w:sz w:val="20"/>
          <w:szCs w:val="20"/>
        </w:rPr>
        <w:t xml:space="preserve"> </w:t>
      </w:r>
      <w:r>
        <w:rPr>
          <w:rFonts w:cs="Verdana" w:ascii="Verdana" w:hAnsi="Verdana"/>
          <w:sz w:val="20"/>
          <w:szCs w:val="20"/>
        </w:rPr>
        <w:t>ou</w:t>
      </w:r>
      <w:r>
        <w:rPr>
          <w:rFonts w:cs="Verdana" w:ascii="Verdana" w:hAnsi="Verdana"/>
          <w:spacing w:val="-6"/>
          <w:sz w:val="20"/>
          <w:szCs w:val="20"/>
        </w:rPr>
        <w:t xml:space="preserve"> </w:t>
      </w:r>
      <w:r>
        <w:rPr>
          <w:rFonts w:cs="Verdana" w:ascii="Verdana" w:hAnsi="Verdana"/>
          <w:sz w:val="20"/>
          <w:szCs w:val="20"/>
        </w:rPr>
        <w:t>jurídica</w:t>
      </w:r>
      <w:r>
        <w:rPr>
          <w:rFonts w:cs="Verdana" w:ascii="Verdana" w:hAnsi="Verdana"/>
          <w:spacing w:val="-7"/>
          <w:sz w:val="20"/>
          <w:szCs w:val="20"/>
        </w:rPr>
        <w:t xml:space="preserve"> </w:t>
      </w:r>
      <w:r>
        <w:rPr>
          <w:rFonts w:cs="Verdana" w:ascii="Verdana" w:hAnsi="Verdana"/>
          <w:sz w:val="20"/>
          <w:szCs w:val="20"/>
        </w:rPr>
        <w:t>que,</w:t>
      </w:r>
      <w:r>
        <w:rPr>
          <w:rFonts w:cs="Verdana" w:ascii="Verdana" w:hAnsi="Verdana"/>
          <w:spacing w:val="-6"/>
          <w:sz w:val="20"/>
          <w:szCs w:val="20"/>
        </w:rPr>
        <w:t xml:space="preserve"> </w:t>
      </w:r>
      <w:r>
        <w:rPr>
          <w:rFonts w:cs="Verdana" w:ascii="Verdana" w:hAnsi="Verdana"/>
          <w:sz w:val="20"/>
          <w:szCs w:val="20"/>
        </w:rPr>
        <w:t>nos</w:t>
      </w:r>
      <w:r>
        <w:rPr>
          <w:rFonts w:cs="Verdana" w:ascii="Verdana" w:hAnsi="Verdana"/>
          <w:spacing w:val="-6"/>
          <w:sz w:val="20"/>
          <w:szCs w:val="20"/>
        </w:rPr>
        <w:t xml:space="preserve"> </w:t>
      </w:r>
      <w:r>
        <w:rPr>
          <w:rFonts w:cs="Verdana" w:ascii="Verdana" w:hAnsi="Verdana"/>
          <w:sz w:val="20"/>
          <w:szCs w:val="20"/>
        </w:rPr>
        <w:t>5</w:t>
      </w:r>
      <w:r>
        <w:rPr>
          <w:rFonts w:cs="Verdana" w:ascii="Verdana" w:hAnsi="Verdana"/>
          <w:spacing w:val="-6"/>
          <w:sz w:val="20"/>
          <w:szCs w:val="20"/>
        </w:rPr>
        <w:t xml:space="preserve"> </w:t>
      </w:r>
      <w:r>
        <w:rPr>
          <w:rFonts w:cs="Verdana" w:ascii="Verdana" w:hAnsi="Verdana"/>
          <w:sz w:val="20"/>
          <w:szCs w:val="20"/>
        </w:rPr>
        <w:t>(cinco)</w:t>
      </w:r>
      <w:r>
        <w:rPr>
          <w:rFonts w:cs="Verdana" w:ascii="Verdana" w:hAnsi="Verdana"/>
          <w:spacing w:val="-7"/>
          <w:sz w:val="20"/>
          <w:szCs w:val="20"/>
        </w:rPr>
        <w:t xml:space="preserve"> </w:t>
      </w:r>
      <w:r>
        <w:rPr>
          <w:rFonts w:cs="Verdana" w:ascii="Verdana" w:hAnsi="Verdana"/>
          <w:sz w:val="20"/>
          <w:szCs w:val="20"/>
        </w:rPr>
        <w:t>anos</w:t>
      </w:r>
      <w:r>
        <w:rPr>
          <w:rFonts w:cs="Verdana" w:ascii="Verdana" w:hAnsi="Verdana"/>
          <w:spacing w:val="-6"/>
          <w:sz w:val="20"/>
          <w:szCs w:val="20"/>
        </w:rPr>
        <w:t xml:space="preserve"> </w:t>
      </w:r>
      <w:r>
        <w:rPr>
          <w:rFonts w:cs="Verdana" w:ascii="Verdana" w:hAnsi="Verdana"/>
          <w:sz w:val="20"/>
          <w:szCs w:val="20"/>
        </w:rPr>
        <w:t>anteriores</w:t>
      </w:r>
      <w:r>
        <w:rPr>
          <w:rFonts w:cs="Verdana" w:ascii="Verdana" w:hAnsi="Verdana"/>
          <w:spacing w:val="-6"/>
          <w:sz w:val="20"/>
          <w:szCs w:val="20"/>
        </w:rPr>
        <w:t xml:space="preserve"> </w:t>
      </w:r>
      <w:r>
        <w:rPr>
          <w:rFonts w:cs="Verdana" w:ascii="Verdana" w:hAnsi="Verdana"/>
          <w:sz w:val="20"/>
          <w:szCs w:val="20"/>
        </w:rPr>
        <w:t>à</w:t>
      </w:r>
      <w:r>
        <w:rPr>
          <w:rFonts w:cs="Verdana" w:ascii="Verdana" w:hAnsi="Verdana"/>
          <w:spacing w:val="-7"/>
          <w:sz w:val="20"/>
          <w:szCs w:val="20"/>
        </w:rPr>
        <w:t xml:space="preserve"> </w:t>
      </w:r>
      <w:r>
        <w:rPr>
          <w:rFonts w:cs="Verdana" w:ascii="Verdana" w:hAnsi="Verdana"/>
          <w:sz w:val="20"/>
          <w:szCs w:val="20"/>
        </w:rPr>
        <w:t>divulgação</w:t>
      </w:r>
      <w:r>
        <w:rPr>
          <w:rFonts w:cs="Verdana" w:ascii="Verdana" w:hAnsi="Verdana"/>
          <w:spacing w:val="-6"/>
          <w:sz w:val="20"/>
          <w:szCs w:val="20"/>
        </w:rPr>
        <w:t xml:space="preserve"> </w:t>
      </w:r>
      <w:r>
        <w:rPr>
          <w:rFonts w:cs="Verdana" w:ascii="Verdana" w:hAnsi="Verdana"/>
          <w:sz w:val="20"/>
          <w:szCs w:val="20"/>
        </w:rPr>
        <w:t>do</w:t>
      </w:r>
      <w:r>
        <w:rPr>
          <w:rFonts w:cs="Verdana" w:ascii="Verdana" w:hAnsi="Verdana"/>
          <w:spacing w:val="-4"/>
          <w:sz w:val="20"/>
          <w:szCs w:val="20"/>
        </w:rPr>
        <w:t xml:space="preserve"> </w:t>
      </w:r>
      <w:r>
        <w:rPr>
          <w:rFonts w:cs="Verdana" w:ascii="Verdana" w:hAnsi="Verdana"/>
          <w:sz w:val="20"/>
          <w:szCs w:val="20"/>
        </w:rPr>
        <w:t>edital,</w:t>
      </w:r>
      <w:r>
        <w:rPr>
          <w:rFonts w:cs="Verdana" w:ascii="Verdana" w:hAnsi="Verdana"/>
          <w:spacing w:val="-5"/>
          <w:sz w:val="20"/>
          <w:szCs w:val="20"/>
        </w:rPr>
        <w:t xml:space="preserve"> </w:t>
      </w:r>
      <w:r>
        <w:rPr>
          <w:rFonts w:cs="Verdana" w:ascii="Verdana" w:hAnsi="Verdana"/>
          <w:sz w:val="20"/>
          <w:szCs w:val="20"/>
        </w:rPr>
        <w:t>tenha sido</w:t>
      </w:r>
      <w:r>
        <w:rPr>
          <w:rFonts w:cs="Verdana" w:ascii="Verdana" w:hAnsi="Verdana"/>
          <w:spacing w:val="-11"/>
          <w:sz w:val="20"/>
          <w:szCs w:val="20"/>
        </w:rPr>
        <w:t xml:space="preserve"> </w:t>
      </w:r>
      <w:r>
        <w:rPr>
          <w:rFonts w:cs="Verdana" w:ascii="Verdana" w:hAnsi="Verdana"/>
          <w:sz w:val="20"/>
          <w:szCs w:val="20"/>
        </w:rPr>
        <w:t>condenada</w:t>
      </w:r>
      <w:r>
        <w:rPr>
          <w:rFonts w:cs="Verdana" w:ascii="Verdana" w:hAnsi="Verdana"/>
          <w:spacing w:val="-13"/>
          <w:sz w:val="20"/>
          <w:szCs w:val="20"/>
        </w:rPr>
        <w:t xml:space="preserve"> </w:t>
      </w:r>
      <w:r>
        <w:rPr>
          <w:rFonts w:cs="Verdana" w:ascii="Verdana" w:hAnsi="Verdana"/>
          <w:sz w:val="20"/>
          <w:szCs w:val="20"/>
        </w:rPr>
        <w:t>judicialmente,</w:t>
      </w:r>
      <w:r>
        <w:rPr>
          <w:rFonts w:cs="Verdana" w:ascii="Verdana" w:hAnsi="Verdana"/>
          <w:spacing w:val="-13"/>
          <w:sz w:val="20"/>
          <w:szCs w:val="20"/>
        </w:rPr>
        <w:t xml:space="preserve"> </w:t>
      </w:r>
      <w:r>
        <w:rPr>
          <w:rFonts w:cs="Verdana" w:ascii="Verdana" w:hAnsi="Verdana"/>
          <w:sz w:val="20"/>
          <w:szCs w:val="20"/>
        </w:rPr>
        <w:t>com</w:t>
      </w:r>
      <w:r>
        <w:rPr>
          <w:rFonts w:cs="Verdana" w:ascii="Verdana" w:hAnsi="Verdana"/>
          <w:spacing w:val="-12"/>
          <w:sz w:val="20"/>
          <w:szCs w:val="20"/>
        </w:rPr>
        <w:t xml:space="preserve"> </w:t>
      </w:r>
      <w:r>
        <w:rPr>
          <w:rFonts w:cs="Verdana" w:ascii="Verdana" w:hAnsi="Verdana"/>
          <w:sz w:val="20"/>
          <w:szCs w:val="20"/>
        </w:rPr>
        <w:t>trânsito</w:t>
      </w:r>
      <w:r>
        <w:rPr>
          <w:rFonts w:cs="Verdana" w:ascii="Verdana" w:hAnsi="Verdana"/>
          <w:spacing w:val="-12"/>
          <w:sz w:val="20"/>
          <w:szCs w:val="20"/>
        </w:rPr>
        <w:t xml:space="preserve"> </w:t>
      </w:r>
      <w:r>
        <w:rPr>
          <w:rFonts w:cs="Verdana" w:ascii="Verdana" w:hAnsi="Verdana"/>
          <w:sz w:val="20"/>
          <w:szCs w:val="20"/>
        </w:rPr>
        <w:t>em</w:t>
      </w:r>
      <w:r>
        <w:rPr>
          <w:rFonts w:cs="Verdana" w:ascii="Verdana" w:hAnsi="Verdana"/>
          <w:spacing w:val="-12"/>
          <w:sz w:val="20"/>
          <w:szCs w:val="20"/>
        </w:rPr>
        <w:t xml:space="preserve"> </w:t>
      </w:r>
      <w:r>
        <w:rPr>
          <w:rFonts w:cs="Verdana" w:ascii="Verdana" w:hAnsi="Verdana"/>
          <w:sz w:val="20"/>
          <w:szCs w:val="20"/>
        </w:rPr>
        <w:t>julgado,</w:t>
      </w:r>
      <w:r>
        <w:rPr>
          <w:rFonts w:cs="Verdana" w:ascii="Verdana" w:hAnsi="Verdana"/>
          <w:spacing w:val="-12"/>
          <w:sz w:val="20"/>
          <w:szCs w:val="20"/>
        </w:rPr>
        <w:t xml:space="preserve"> </w:t>
      </w:r>
      <w:r>
        <w:rPr>
          <w:rFonts w:cs="Verdana" w:ascii="Verdana" w:hAnsi="Verdana"/>
          <w:sz w:val="20"/>
          <w:szCs w:val="20"/>
        </w:rPr>
        <w:t>por</w:t>
      </w:r>
      <w:r>
        <w:rPr>
          <w:rFonts w:cs="Verdana" w:ascii="Verdana" w:hAnsi="Verdana"/>
          <w:spacing w:val="-10"/>
          <w:sz w:val="20"/>
          <w:szCs w:val="20"/>
        </w:rPr>
        <w:t xml:space="preserve"> </w:t>
      </w:r>
      <w:r>
        <w:rPr>
          <w:rFonts w:cs="Verdana" w:ascii="Verdana" w:hAnsi="Verdana"/>
          <w:sz w:val="20"/>
          <w:szCs w:val="20"/>
        </w:rPr>
        <w:t>exploração</w:t>
      </w:r>
      <w:r>
        <w:rPr>
          <w:rFonts w:cs="Verdana" w:ascii="Verdana" w:hAnsi="Verdana"/>
          <w:spacing w:val="-12"/>
          <w:sz w:val="20"/>
          <w:szCs w:val="20"/>
        </w:rPr>
        <w:t xml:space="preserve"> </w:t>
      </w:r>
      <w:r>
        <w:rPr>
          <w:rFonts w:cs="Verdana" w:ascii="Verdana" w:hAnsi="Verdana"/>
          <w:sz w:val="20"/>
          <w:szCs w:val="20"/>
        </w:rPr>
        <w:t>de</w:t>
      </w:r>
      <w:r>
        <w:rPr>
          <w:rFonts w:cs="Verdana" w:ascii="Verdana" w:hAnsi="Verdana"/>
          <w:spacing w:val="-13"/>
          <w:sz w:val="20"/>
          <w:szCs w:val="20"/>
        </w:rPr>
        <w:t xml:space="preserve"> </w:t>
      </w:r>
      <w:r>
        <w:rPr>
          <w:rFonts w:cs="Verdana" w:ascii="Verdana" w:hAnsi="Verdana"/>
          <w:sz w:val="20"/>
          <w:szCs w:val="20"/>
        </w:rPr>
        <w:t>trabalho</w:t>
      </w:r>
      <w:r>
        <w:rPr>
          <w:rFonts w:cs="Verdana" w:ascii="Verdana" w:hAnsi="Verdana"/>
          <w:spacing w:val="-12"/>
          <w:sz w:val="20"/>
          <w:szCs w:val="20"/>
        </w:rPr>
        <w:t xml:space="preserve"> </w:t>
      </w:r>
      <w:r>
        <w:rPr>
          <w:rFonts w:cs="Verdana" w:ascii="Verdana" w:hAnsi="Verdana"/>
          <w:sz w:val="20"/>
          <w:szCs w:val="20"/>
        </w:rPr>
        <w:t>infantil,</w:t>
      </w:r>
      <w:r>
        <w:rPr>
          <w:rFonts w:cs="Verdana" w:ascii="Verdana" w:hAnsi="Verdana"/>
          <w:spacing w:val="-12"/>
          <w:sz w:val="20"/>
          <w:szCs w:val="20"/>
        </w:rPr>
        <w:t xml:space="preserve"> </w:t>
      </w:r>
      <w:r>
        <w:rPr>
          <w:rFonts w:cs="Verdana" w:ascii="Verdana" w:hAnsi="Verdana"/>
          <w:sz w:val="20"/>
          <w:szCs w:val="20"/>
        </w:rPr>
        <w:t>por submissão de trabalhadores a condições análogas às de escravo ou por contratação de adolescentes nos casos vedados pela legislação trabalhista;</w:t>
      </w:r>
    </w:p>
    <w:p>
      <w:pPr>
        <w:pStyle w:val="ListParagraph"/>
        <w:tabs>
          <w:tab w:val="clear" w:pos="709"/>
          <w:tab w:val="left" w:pos="869" w:leader="none"/>
        </w:tabs>
        <w:spacing w:before="0" w:after="0"/>
        <w:ind w:left="0" w:right="0"/>
        <w:jc w:val="both"/>
        <w:rPr>
          <w:rFonts w:ascii="Verdana" w:hAnsi="Verdana" w:cs="Verdana"/>
          <w:sz w:val="20"/>
          <w:szCs w:val="20"/>
        </w:rPr>
      </w:pPr>
      <w:r>
        <w:rPr>
          <w:rFonts w:cs="Verdana" w:ascii="Verdana" w:hAnsi="Verdana"/>
          <w:sz w:val="20"/>
          <w:szCs w:val="20"/>
        </w:rPr>
        <w:t>6.7.4 agente</w:t>
      </w:r>
      <w:r>
        <w:rPr>
          <w:rFonts w:cs="Verdana" w:ascii="Verdana" w:hAnsi="Verdana"/>
          <w:spacing w:val="-2"/>
          <w:sz w:val="20"/>
          <w:szCs w:val="20"/>
        </w:rPr>
        <w:t xml:space="preserve"> </w:t>
      </w:r>
      <w:r>
        <w:rPr>
          <w:rFonts w:cs="Verdana" w:ascii="Verdana" w:hAnsi="Verdana"/>
          <w:sz w:val="20"/>
          <w:szCs w:val="20"/>
        </w:rPr>
        <w:t>público</w:t>
      </w:r>
      <w:r>
        <w:rPr>
          <w:rFonts w:cs="Verdana" w:ascii="Verdana" w:hAnsi="Verdana"/>
          <w:spacing w:val="-1"/>
          <w:sz w:val="20"/>
          <w:szCs w:val="20"/>
        </w:rPr>
        <w:t xml:space="preserve"> </w:t>
      </w:r>
      <w:r>
        <w:rPr>
          <w:rFonts w:cs="Verdana" w:ascii="Verdana" w:hAnsi="Verdana"/>
          <w:sz w:val="20"/>
          <w:szCs w:val="20"/>
        </w:rPr>
        <w:t>do</w:t>
      </w:r>
      <w:r>
        <w:rPr>
          <w:rFonts w:cs="Verdana" w:ascii="Verdana" w:hAnsi="Verdana"/>
          <w:spacing w:val="-2"/>
          <w:sz w:val="20"/>
          <w:szCs w:val="20"/>
        </w:rPr>
        <w:t xml:space="preserve"> </w:t>
      </w:r>
      <w:r>
        <w:rPr>
          <w:rFonts w:cs="Verdana" w:ascii="Verdana" w:hAnsi="Verdana"/>
          <w:sz w:val="20"/>
          <w:szCs w:val="20"/>
        </w:rPr>
        <w:t>órgão ou</w:t>
      </w:r>
      <w:r>
        <w:rPr>
          <w:rFonts w:cs="Verdana" w:ascii="Verdana" w:hAnsi="Verdana"/>
          <w:spacing w:val="-1"/>
          <w:sz w:val="20"/>
          <w:szCs w:val="20"/>
        </w:rPr>
        <w:t xml:space="preserve"> </w:t>
      </w:r>
      <w:r>
        <w:rPr>
          <w:rFonts w:cs="Verdana" w:ascii="Verdana" w:hAnsi="Verdana"/>
          <w:sz w:val="20"/>
          <w:szCs w:val="20"/>
        </w:rPr>
        <w:t>entidade</w:t>
      </w:r>
      <w:r>
        <w:rPr>
          <w:rFonts w:cs="Verdana" w:ascii="Verdana" w:hAnsi="Verdana"/>
          <w:spacing w:val="-2"/>
          <w:sz w:val="20"/>
          <w:szCs w:val="20"/>
        </w:rPr>
        <w:t xml:space="preserve"> licitante;</w:t>
      </w:r>
    </w:p>
    <w:p>
      <w:pPr>
        <w:pStyle w:val="ListParagraph"/>
        <w:spacing w:before="0" w:after="0"/>
        <w:ind w:left="0" w:right="0"/>
        <w:jc w:val="both"/>
        <w:rPr>
          <w:rFonts w:ascii="Verdana" w:hAnsi="Verdana" w:cs="Verdana"/>
          <w:sz w:val="20"/>
          <w:szCs w:val="20"/>
        </w:rPr>
      </w:pPr>
      <w:r>
        <w:rPr>
          <w:rFonts w:cs="Verdana" w:ascii="Verdana" w:hAnsi="Verdana"/>
          <w:sz w:val="20"/>
          <w:szCs w:val="20"/>
        </w:rPr>
        <w:t>6.7.5 pessoas</w:t>
      </w:r>
      <w:r>
        <w:rPr>
          <w:rFonts w:cs="Verdana" w:ascii="Verdana" w:hAnsi="Verdana"/>
          <w:spacing w:val="-3"/>
          <w:sz w:val="20"/>
          <w:szCs w:val="20"/>
        </w:rPr>
        <w:t xml:space="preserve"> </w:t>
      </w:r>
      <w:r>
        <w:rPr>
          <w:rFonts w:cs="Verdana" w:ascii="Verdana" w:hAnsi="Verdana"/>
          <w:sz w:val="20"/>
          <w:szCs w:val="20"/>
        </w:rPr>
        <w:t>jurídicas</w:t>
      </w:r>
      <w:r>
        <w:rPr>
          <w:rFonts w:cs="Verdana" w:ascii="Verdana" w:hAnsi="Verdana"/>
          <w:spacing w:val="-3"/>
          <w:sz w:val="20"/>
          <w:szCs w:val="20"/>
        </w:rPr>
        <w:t xml:space="preserve"> </w:t>
      </w:r>
      <w:r>
        <w:rPr>
          <w:rFonts w:cs="Verdana" w:ascii="Verdana" w:hAnsi="Verdana"/>
          <w:sz w:val="20"/>
          <w:szCs w:val="20"/>
        </w:rPr>
        <w:t>reunidas</w:t>
      </w:r>
      <w:r>
        <w:rPr>
          <w:rFonts w:cs="Verdana" w:ascii="Verdana" w:hAnsi="Verdana"/>
          <w:spacing w:val="-3"/>
          <w:sz w:val="20"/>
          <w:szCs w:val="20"/>
        </w:rPr>
        <w:t xml:space="preserve"> </w:t>
      </w:r>
      <w:r>
        <w:rPr>
          <w:rFonts w:cs="Verdana" w:ascii="Verdana" w:hAnsi="Verdana"/>
          <w:sz w:val="20"/>
          <w:szCs w:val="20"/>
        </w:rPr>
        <w:t>em</w:t>
      </w:r>
      <w:r>
        <w:rPr>
          <w:rFonts w:cs="Verdana" w:ascii="Verdana" w:hAnsi="Verdana"/>
          <w:spacing w:val="-1"/>
          <w:sz w:val="20"/>
          <w:szCs w:val="20"/>
        </w:rPr>
        <w:t xml:space="preserve"> </w:t>
      </w:r>
      <w:r>
        <w:rPr>
          <w:rFonts w:cs="Verdana" w:ascii="Verdana" w:hAnsi="Verdana"/>
          <w:spacing w:val="-2"/>
          <w:sz w:val="20"/>
          <w:szCs w:val="20"/>
        </w:rPr>
        <w:t>consórcio;</w:t>
      </w:r>
    </w:p>
    <w:p>
      <w:pPr>
        <w:pStyle w:val="ListParagraph"/>
        <w:tabs>
          <w:tab w:val="clear" w:pos="709"/>
          <w:tab w:val="left" w:pos="0" w:leader="none"/>
        </w:tabs>
        <w:spacing w:before="0" w:after="0"/>
        <w:ind w:left="0" w:right="0"/>
        <w:jc w:val="both"/>
        <w:rPr>
          <w:rFonts w:ascii="Verdana" w:hAnsi="Verdana" w:cs="Verdana"/>
          <w:sz w:val="20"/>
          <w:szCs w:val="20"/>
        </w:rPr>
      </w:pPr>
      <w:r>
        <w:rPr>
          <w:rFonts w:cs="Verdana" w:ascii="Verdana" w:hAnsi="Verdana"/>
          <w:sz w:val="20"/>
          <w:szCs w:val="20"/>
        </w:rPr>
        <w:t>6.7.6 Organizações</w:t>
      </w:r>
      <w:r>
        <w:rPr>
          <w:rFonts w:cs="Verdana" w:ascii="Verdana" w:hAnsi="Verdana"/>
          <w:spacing w:val="-16"/>
          <w:sz w:val="20"/>
          <w:szCs w:val="20"/>
        </w:rPr>
        <w:t xml:space="preserve"> </w:t>
      </w:r>
      <w:r>
        <w:rPr>
          <w:rFonts w:cs="Verdana" w:ascii="Verdana" w:hAnsi="Verdana"/>
          <w:sz w:val="20"/>
          <w:szCs w:val="20"/>
        </w:rPr>
        <w:t>da</w:t>
      </w:r>
      <w:r>
        <w:rPr>
          <w:rFonts w:cs="Verdana" w:ascii="Verdana" w:hAnsi="Verdana"/>
          <w:spacing w:val="-15"/>
          <w:sz w:val="20"/>
          <w:szCs w:val="20"/>
        </w:rPr>
        <w:t xml:space="preserve"> </w:t>
      </w:r>
      <w:r>
        <w:rPr>
          <w:rFonts w:cs="Verdana" w:ascii="Verdana" w:hAnsi="Verdana"/>
          <w:sz w:val="20"/>
          <w:szCs w:val="20"/>
        </w:rPr>
        <w:t>Sociedade</w:t>
      </w:r>
      <w:r>
        <w:rPr>
          <w:rFonts w:cs="Verdana" w:ascii="Verdana" w:hAnsi="Verdana"/>
          <w:spacing w:val="-15"/>
          <w:sz w:val="20"/>
          <w:szCs w:val="20"/>
        </w:rPr>
        <w:t xml:space="preserve"> </w:t>
      </w:r>
      <w:r>
        <w:rPr>
          <w:rFonts w:cs="Verdana" w:ascii="Verdana" w:hAnsi="Verdana"/>
          <w:sz w:val="20"/>
          <w:szCs w:val="20"/>
        </w:rPr>
        <w:t>Civil</w:t>
      </w:r>
      <w:r>
        <w:rPr>
          <w:rFonts w:cs="Verdana" w:ascii="Verdana" w:hAnsi="Verdana"/>
          <w:spacing w:val="-14"/>
          <w:sz w:val="20"/>
          <w:szCs w:val="20"/>
        </w:rPr>
        <w:t xml:space="preserve"> </w:t>
      </w:r>
      <w:r>
        <w:rPr>
          <w:rFonts w:cs="Verdana" w:ascii="Verdana" w:hAnsi="Verdana"/>
          <w:sz w:val="20"/>
          <w:szCs w:val="20"/>
        </w:rPr>
        <w:t>de</w:t>
      </w:r>
      <w:r>
        <w:rPr>
          <w:rFonts w:cs="Verdana" w:ascii="Verdana" w:hAnsi="Verdana"/>
          <w:spacing w:val="-15"/>
          <w:sz w:val="20"/>
          <w:szCs w:val="20"/>
        </w:rPr>
        <w:t xml:space="preserve"> </w:t>
      </w:r>
      <w:r>
        <w:rPr>
          <w:rFonts w:cs="Verdana" w:ascii="Verdana" w:hAnsi="Verdana"/>
          <w:sz w:val="20"/>
          <w:szCs w:val="20"/>
        </w:rPr>
        <w:t>Interesse</w:t>
      </w:r>
      <w:r>
        <w:rPr>
          <w:rFonts w:cs="Verdana" w:ascii="Verdana" w:hAnsi="Verdana"/>
          <w:spacing w:val="-15"/>
          <w:sz w:val="20"/>
          <w:szCs w:val="20"/>
        </w:rPr>
        <w:t xml:space="preserve"> </w:t>
      </w:r>
      <w:r>
        <w:rPr>
          <w:rFonts w:cs="Verdana" w:ascii="Verdana" w:hAnsi="Verdana"/>
          <w:sz w:val="20"/>
          <w:szCs w:val="20"/>
        </w:rPr>
        <w:t>Público</w:t>
      </w:r>
      <w:r>
        <w:rPr>
          <w:rFonts w:cs="Verdana" w:ascii="Verdana" w:hAnsi="Verdana"/>
          <w:spacing w:val="-11"/>
          <w:sz w:val="20"/>
          <w:szCs w:val="20"/>
        </w:rPr>
        <w:t xml:space="preserve"> </w:t>
      </w:r>
      <w:r>
        <w:rPr>
          <w:rFonts w:cs="Verdana" w:ascii="Verdana" w:hAnsi="Verdana"/>
          <w:sz w:val="20"/>
          <w:szCs w:val="20"/>
        </w:rPr>
        <w:t>-</w:t>
      </w:r>
      <w:r>
        <w:rPr>
          <w:rFonts w:cs="Verdana" w:ascii="Verdana" w:hAnsi="Verdana"/>
          <w:spacing w:val="-15"/>
          <w:sz w:val="20"/>
          <w:szCs w:val="20"/>
        </w:rPr>
        <w:t xml:space="preserve"> </w:t>
      </w:r>
      <w:r>
        <w:rPr>
          <w:rFonts w:cs="Verdana" w:ascii="Verdana" w:hAnsi="Verdana"/>
          <w:sz w:val="20"/>
          <w:szCs w:val="20"/>
        </w:rPr>
        <w:t>OSCIP,</w:t>
      </w:r>
      <w:r>
        <w:rPr>
          <w:rFonts w:cs="Verdana" w:ascii="Verdana" w:hAnsi="Verdana"/>
          <w:spacing w:val="-14"/>
          <w:sz w:val="20"/>
          <w:szCs w:val="20"/>
        </w:rPr>
        <w:t xml:space="preserve"> </w:t>
      </w:r>
      <w:r>
        <w:rPr>
          <w:rFonts w:cs="Verdana" w:ascii="Verdana" w:hAnsi="Verdana"/>
          <w:sz w:val="20"/>
          <w:szCs w:val="20"/>
        </w:rPr>
        <w:t>atuando</w:t>
      </w:r>
      <w:r>
        <w:rPr>
          <w:rFonts w:cs="Verdana" w:ascii="Verdana" w:hAnsi="Verdana"/>
          <w:spacing w:val="-15"/>
          <w:sz w:val="20"/>
          <w:szCs w:val="20"/>
        </w:rPr>
        <w:t xml:space="preserve"> </w:t>
      </w:r>
      <w:r>
        <w:rPr>
          <w:rFonts w:cs="Verdana" w:ascii="Verdana" w:hAnsi="Verdana"/>
          <w:sz w:val="20"/>
          <w:szCs w:val="20"/>
        </w:rPr>
        <w:t>nessa</w:t>
      </w:r>
      <w:r>
        <w:rPr>
          <w:rFonts w:cs="Verdana" w:ascii="Verdana" w:hAnsi="Verdana"/>
          <w:spacing w:val="-14"/>
          <w:sz w:val="20"/>
          <w:szCs w:val="20"/>
        </w:rPr>
        <w:t xml:space="preserve"> </w:t>
      </w:r>
      <w:r>
        <w:rPr>
          <w:rFonts w:cs="Verdana" w:ascii="Verdana" w:hAnsi="Verdana"/>
          <w:spacing w:val="-2"/>
          <w:sz w:val="20"/>
          <w:szCs w:val="20"/>
        </w:rPr>
        <w:t>condição;</w:t>
      </w:r>
    </w:p>
    <w:p>
      <w:pPr>
        <w:pStyle w:val="ListParagraph"/>
        <w:tabs>
          <w:tab w:val="clear" w:pos="709"/>
          <w:tab w:val="left" w:pos="868" w:leader="none"/>
        </w:tabs>
        <w:spacing w:before="0" w:after="0"/>
        <w:ind w:left="0" w:right="170"/>
        <w:jc w:val="both"/>
        <w:rPr>
          <w:rFonts w:ascii="Verdana" w:hAnsi="Verdana" w:cs="Verdana"/>
          <w:sz w:val="20"/>
          <w:szCs w:val="20"/>
        </w:rPr>
      </w:pPr>
      <w:r>
        <w:rPr>
          <w:rFonts w:cs="Verdana" w:ascii="Verdana" w:hAnsi="Verdana"/>
          <w:sz w:val="20"/>
          <w:szCs w:val="20"/>
        </w:rPr>
        <w:t>6.7.7 Não</w:t>
      </w:r>
      <w:r>
        <w:rPr>
          <w:rFonts w:cs="Verdana" w:ascii="Verdana" w:hAnsi="Verdana"/>
          <w:spacing w:val="-1"/>
          <w:sz w:val="20"/>
          <w:szCs w:val="20"/>
        </w:rPr>
        <w:t xml:space="preserve"> </w:t>
      </w:r>
      <w:r>
        <w:rPr>
          <w:rFonts w:cs="Verdana" w:ascii="Verdana" w:hAnsi="Verdana"/>
          <w:sz w:val="20"/>
          <w:szCs w:val="20"/>
        </w:rPr>
        <w:t>poderá</w:t>
      </w:r>
      <w:r>
        <w:rPr>
          <w:rFonts w:cs="Verdana" w:ascii="Verdana" w:hAnsi="Verdana"/>
          <w:spacing w:val="-2"/>
          <w:sz w:val="20"/>
          <w:szCs w:val="20"/>
        </w:rPr>
        <w:t xml:space="preserve"> </w:t>
      </w:r>
      <w:r>
        <w:rPr>
          <w:rFonts w:cs="Verdana" w:ascii="Verdana" w:hAnsi="Verdana"/>
          <w:sz w:val="20"/>
          <w:szCs w:val="20"/>
        </w:rPr>
        <w:t>participar,</w:t>
      </w:r>
      <w:r>
        <w:rPr>
          <w:rFonts w:cs="Verdana" w:ascii="Verdana" w:hAnsi="Verdana"/>
          <w:spacing w:val="-1"/>
          <w:sz w:val="20"/>
          <w:szCs w:val="20"/>
        </w:rPr>
        <w:t xml:space="preserve"> </w:t>
      </w:r>
      <w:r>
        <w:rPr>
          <w:rFonts w:cs="Verdana" w:ascii="Verdana" w:hAnsi="Verdana"/>
          <w:sz w:val="20"/>
          <w:szCs w:val="20"/>
        </w:rPr>
        <w:t>direta</w:t>
      </w:r>
      <w:r>
        <w:rPr>
          <w:rFonts w:cs="Verdana" w:ascii="Verdana" w:hAnsi="Verdana"/>
          <w:spacing w:val="-2"/>
          <w:sz w:val="20"/>
          <w:szCs w:val="20"/>
        </w:rPr>
        <w:t xml:space="preserve"> </w:t>
      </w:r>
      <w:r>
        <w:rPr>
          <w:rFonts w:cs="Verdana" w:ascii="Verdana" w:hAnsi="Verdana"/>
          <w:sz w:val="20"/>
          <w:szCs w:val="20"/>
        </w:rPr>
        <w:t>ou</w:t>
      </w:r>
      <w:r>
        <w:rPr>
          <w:rFonts w:cs="Verdana" w:ascii="Verdana" w:hAnsi="Verdana"/>
          <w:spacing w:val="-1"/>
          <w:sz w:val="20"/>
          <w:szCs w:val="20"/>
        </w:rPr>
        <w:t xml:space="preserve"> </w:t>
      </w:r>
      <w:r>
        <w:rPr>
          <w:rFonts w:cs="Verdana" w:ascii="Verdana" w:hAnsi="Verdana"/>
          <w:sz w:val="20"/>
          <w:szCs w:val="20"/>
        </w:rPr>
        <w:t>indiretamente,</w:t>
      </w:r>
      <w:r>
        <w:rPr>
          <w:rFonts w:cs="Verdana" w:ascii="Verdana" w:hAnsi="Verdana"/>
          <w:spacing w:val="-2"/>
          <w:sz w:val="20"/>
          <w:szCs w:val="20"/>
        </w:rPr>
        <w:t xml:space="preserve"> </w:t>
      </w:r>
      <w:r>
        <w:rPr>
          <w:rFonts w:cs="Verdana" w:ascii="Verdana" w:hAnsi="Verdana"/>
          <w:sz w:val="20"/>
          <w:szCs w:val="20"/>
        </w:rPr>
        <w:t>da licitação</w:t>
      </w:r>
      <w:r>
        <w:rPr>
          <w:rFonts w:cs="Verdana" w:ascii="Verdana" w:hAnsi="Verdana"/>
          <w:spacing w:val="-1"/>
          <w:sz w:val="20"/>
          <w:szCs w:val="20"/>
        </w:rPr>
        <w:t xml:space="preserve"> </w:t>
      </w:r>
      <w:r>
        <w:rPr>
          <w:rFonts w:cs="Verdana" w:ascii="Verdana" w:hAnsi="Verdana"/>
          <w:sz w:val="20"/>
          <w:szCs w:val="20"/>
        </w:rPr>
        <w:t>ou</w:t>
      </w:r>
      <w:r>
        <w:rPr>
          <w:rFonts w:cs="Verdana" w:ascii="Verdana" w:hAnsi="Verdana"/>
          <w:spacing w:val="-1"/>
          <w:sz w:val="20"/>
          <w:szCs w:val="20"/>
        </w:rPr>
        <w:t xml:space="preserve"> </w:t>
      </w:r>
      <w:r>
        <w:rPr>
          <w:rFonts w:cs="Verdana" w:ascii="Verdana" w:hAnsi="Verdana"/>
          <w:sz w:val="20"/>
          <w:szCs w:val="20"/>
        </w:rPr>
        <w:t>da</w:t>
      </w:r>
      <w:r>
        <w:rPr>
          <w:rFonts w:cs="Verdana" w:ascii="Verdana" w:hAnsi="Verdana"/>
          <w:spacing w:val="-2"/>
          <w:sz w:val="20"/>
          <w:szCs w:val="20"/>
        </w:rPr>
        <w:t xml:space="preserve"> </w:t>
      </w:r>
      <w:r>
        <w:rPr>
          <w:rFonts w:cs="Verdana" w:ascii="Verdana" w:hAnsi="Verdana"/>
          <w:sz w:val="20"/>
          <w:szCs w:val="20"/>
        </w:rPr>
        <w:t>execução do</w:t>
      </w:r>
      <w:r>
        <w:rPr>
          <w:rFonts w:cs="Verdana" w:ascii="Verdana" w:hAnsi="Verdana"/>
          <w:spacing w:val="-1"/>
          <w:sz w:val="20"/>
          <w:szCs w:val="20"/>
        </w:rPr>
        <w:t xml:space="preserve"> </w:t>
      </w:r>
      <w:r>
        <w:rPr>
          <w:rFonts w:cs="Verdana" w:ascii="Verdana" w:hAnsi="Verdana"/>
          <w:sz w:val="20"/>
          <w:szCs w:val="20"/>
        </w:rPr>
        <w:t>contrato agente público do órgão ou entidade contratante, devendo ser observadas as situações que possam</w:t>
      </w:r>
      <w:r>
        <w:rPr>
          <w:rFonts w:cs="Verdana" w:ascii="Verdana" w:hAnsi="Verdana"/>
          <w:spacing w:val="-11"/>
          <w:sz w:val="20"/>
          <w:szCs w:val="20"/>
        </w:rPr>
        <w:t xml:space="preserve"> </w:t>
      </w:r>
      <w:r>
        <w:rPr>
          <w:rFonts w:cs="Verdana" w:ascii="Verdana" w:hAnsi="Verdana"/>
          <w:sz w:val="20"/>
          <w:szCs w:val="20"/>
        </w:rPr>
        <w:t>configurar</w:t>
      </w:r>
      <w:r>
        <w:rPr>
          <w:rFonts w:cs="Verdana" w:ascii="Verdana" w:hAnsi="Verdana"/>
          <w:spacing w:val="-9"/>
          <w:sz w:val="20"/>
          <w:szCs w:val="20"/>
        </w:rPr>
        <w:t xml:space="preserve"> </w:t>
      </w:r>
      <w:r>
        <w:rPr>
          <w:rFonts w:cs="Verdana" w:ascii="Verdana" w:hAnsi="Verdana"/>
          <w:sz w:val="20"/>
          <w:szCs w:val="20"/>
        </w:rPr>
        <w:t>conflito</w:t>
      </w:r>
      <w:r>
        <w:rPr>
          <w:rFonts w:cs="Verdana" w:ascii="Verdana" w:hAnsi="Verdana"/>
          <w:spacing w:val="-11"/>
          <w:sz w:val="20"/>
          <w:szCs w:val="20"/>
        </w:rPr>
        <w:t xml:space="preserve"> </w:t>
      </w:r>
      <w:r>
        <w:rPr>
          <w:rFonts w:cs="Verdana" w:ascii="Verdana" w:hAnsi="Verdana"/>
          <w:sz w:val="20"/>
          <w:szCs w:val="20"/>
        </w:rPr>
        <w:t>de</w:t>
      </w:r>
      <w:r>
        <w:rPr>
          <w:rFonts w:cs="Verdana" w:ascii="Verdana" w:hAnsi="Verdana"/>
          <w:spacing w:val="-12"/>
          <w:sz w:val="20"/>
          <w:szCs w:val="20"/>
        </w:rPr>
        <w:t xml:space="preserve"> </w:t>
      </w:r>
      <w:r>
        <w:rPr>
          <w:rFonts w:cs="Verdana" w:ascii="Verdana" w:hAnsi="Verdana"/>
          <w:sz w:val="20"/>
          <w:szCs w:val="20"/>
        </w:rPr>
        <w:t>interesses</w:t>
      </w:r>
      <w:r>
        <w:rPr>
          <w:rFonts w:cs="Verdana" w:ascii="Verdana" w:hAnsi="Verdana"/>
          <w:spacing w:val="-11"/>
          <w:sz w:val="20"/>
          <w:szCs w:val="20"/>
        </w:rPr>
        <w:t xml:space="preserve"> </w:t>
      </w:r>
      <w:r>
        <w:rPr>
          <w:rFonts w:cs="Verdana" w:ascii="Verdana" w:hAnsi="Verdana"/>
          <w:sz w:val="20"/>
          <w:szCs w:val="20"/>
        </w:rPr>
        <w:t>no</w:t>
      </w:r>
      <w:r>
        <w:rPr>
          <w:rFonts w:cs="Verdana" w:ascii="Verdana" w:hAnsi="Verdana"/>
          <w:spacing w:val="-8"/>
          <w:sz w:val="20"/>
          <w:szCs w:val="20"/>
        </w:rPr>
        <w:t xml:space="preserve"> </w:t>
      </w:r>
      <w:r>
        <w:rPr>
          <w:rFonts w:cs="Verdana" w:ascii="Verdana" w:hAnsi="Verdana"/>
          <w:sz w:val="20"/>
          <w:szCs w:val="20"/>
        </w:rPr>
        <w:t>exercício</w:t>
      </w:r>
      <w:r>
        <w:rPr>
          <w:rFonts w:cs="Verdana" w:ascii="Verdana" w:hAnsi="Verdana"/>
          <w:spacing w:val="-10"/>
          <w:sz w:val="20"/>
          <w:szCs w:val="20"/>
        </w:rPr>
        <w:t xml:space="preserve"> </w:t>
      </w:r>
      <w:r>
        <w:rPr>
          <w:rFonts w:cs="Verdana" w:ascii="Verdana" w:hAnsi="Verdana"/>
          <w:sz w:val="20"/>
          <w:szCs w:val="20"/>
        </w:rPr>
        <w:t>ou</w:t>
      </w:r>
      <w:r>
        <w:rPr>
          <w:rFonts w:cs="Verdana" w:ascii="Verdana" w:hAnsi="Verdana"/>
          <w:spacing w:val="-11"/>
          <w:sz w:val="20"/>
          <w:szCs w:val="20"/>
        </w:rPr>
        <w:t xml:space="preserve"> </w:t>
      </w:r>
      <w:r>
        <w:rPr>
          <w:rFonts w:cs="Verdana" w:ascii="Verdana" w:hAnsi="Verdana"/>
          <w:sz w:val="20"/>
          <w:szCs w:val="20"/>
        </w:rPr>
        <w:t>após</w:t>
      </w:r>
      <w:r>
        <w:rPr>
          <w:rFonts w:cs="Verdana" w:ascii="Verdana" w:hAnsi="Verdana"/>
          <w:spacing w:val="-10"/>
          <w:sz w:val="20"/>
          <w:szCs w:val="20"/>
        </w:rPr>
        <w:t xml:space="preserve"> </w:t>
      </w:r>
      <w:r>
        <w:rPr>
          <w:rFonts w:cs="Verdana" w:ascii="Verdana" w:hAnsi="Verdana"/>
          <w:sz w:val="20"/>
          <w:szCs w:val="20"/>
        </w:rPr>
        <w:t>o</w:t>
      </w:r>
      <w:r>
        <w:rPr>
          <w:rFonts w:cs="Verdana" w:ascii="Verdana" w:hAnsi="Verdana"/>
          <w:spacing w:val="-11"/>
          <w:sz w:val="20"/>
          <w:szCs w:val="20"/>
        </w:rPr>
        <w:t xml:space="preserve"> </w:t>
      </w:r>
      <w:r>
        <w:rPr>
          <w:rFonts w:cs="Verdana" w:ascii="Verdana" w:hAnsi="Verdana"/>
          <w:sz w:val="20"/>
          <w:szCs w:val="20"/>
        </w:rPr>
        <w:t>exercício</w:t>
      </w:r>
      <w:r>
        <w:rPr>
          <w:rFonts w:cs="Verdana" w:ascii="Verdana" w:hAnsi="Verdana"/>
          <w:spacing w:val="-9"/>
          <w:sz w:val="20"/>
          <w:szCs w:val="20"/>
        </w:rPr>
        <w:t xml:space="preserve"> </w:t>
      </w:r>
      <w:r>
        <w:rPr>
          <w:rFonts w:cs="Verdana" w:ascii="Verdana" w:hAnsi="Verdana"/>
          <w:sz w:val="20"/>
          <w:szCs w:val="20"/>
        </w:rPr>
        <w:t>do</w:t>
      </w:r>
      <w:r>
        <w:rPr>
          <w:rFonts w:cs="Verdana" w:ascii="Verdana" w:hAnsi="Verdana"/>
          <w:spacing w:val="-11"/>
          <w:sz w:val="20"/>
          <w:szCs w:val="20"/>
        </w:rPr>
        <w:t xml:space="preserve"> </w:t>
      </w:r>
      <w:r>
        <w:rPr>
          <w:rFonts w:cs="Verdana" w:ascii="Verdana" w:hAnsi="Verdana"/>
          <w:sz w:val="20"/>
          <w:szCs w:val="20"/>
        </w:rPr>
        <w:t>cargo</w:t>
      </w:r>
      <w:r>
        <w:rPr>
          <w:rFonts w:cs="Verdana" w:ascii="Verdana" w:hAnsi="Verdana"/>
          <w:spacing w:val="-11"/>
          <w:sz w:val="20"/>
          <w:szCs w:val="20"/>
        </w:rPr>
        <w:t xml:space="preserve"> </w:t>
      </w:r>
      <w:r>
        <w:rPr>
          <w:rFonts w:cs="Verdana" w:ascii="Verdana" w:hAnsi="Verdana"/>
          <w:sz w:val="20"/>
          <w:szCs w:val="20"/>
        </w:rPr>
        <w:t>ou</w:t>
      </w:r>
      <w:r>
        <w:rPr>
          <w:rFonts w:cs="Verdana" w:ascii="Verdana" w:hAnsi="Verdana"/>
          <w:spacing w:val="-8"/>
          <w:sz w:val="20"/>
          <w:szCs w:val="20"/>
        </w:rPr>
        <w:t xml:space="preserve"> </w:t>
      </w:r>
      <w:r>
        <w:rPr>
          <w:rFonts w:cs="Verdana" w:ascii="Verdana" w:hAnsi="Verdana"/>
          <w:sz w:val="20"/>
          <w:szCs w:val="20"/>
        </w:rPr>
        <w:t>emprego, nos</w:t>
      </w:r>
      <w:r>
        <w:rPr>
          <w:rFonts w:cs="Verdana" w:ascii="Verdana" w:hAnsi="Verdana"/>
          <w:spacing w:val="-4"/>
          <w:sz w:val="20"/>
          <w:szCs w:val="20"/>
        </w:rPr>
        <w:t xml:space="preserve"> </w:t>
      </w:r>
      <w:r>
        <w:rPr>
          <w:rFonts w:cs="Verdana" w:ascii="Verdana" w:hAnsi="Verdana"/>
          <w:sz w:val="20"/>
          <w:szCs w:val="20"/>
        </w:rPr>
        <w:t>termos</w:t>
      </w:r>
      <w:r>
        <w:rPr>
          <w:rFonts w:cs="Verdana" w:ascii="Verdana" w:hAnsi="Verdana"/>
          <w:spacing w:val="-4"/>
          <w:sz w:val="20"/>
          <w:szCs w:val="20"/>
        </w:rPr>
        <w:t xml:space="preserve"> </w:t>
      </w:r>
      <w:r>
        <w:rPr>
          <w:rFonts w:cs="Verdana" w:ascii="Verdana" w:hAnsi="Verdana"/>
          <w:sz w:val="20"/>
          <w:szCs w:val="20"/>
        </w:rPr>
        <w:t>da</w:t>
      </w:r>
      <w:r>
        <w:rPr>
          <w:rFonts w:cs="Verdana" w:ascii="Verdana" w:hAnsi="Verdana"/>
          <w:spacing w:val="-4"/>
          <w:sz w:val="20"/>
          <w:szCs w:val="20"/>
        </w:rPr>
        <w:t xml:space="preserve"> </w:t>
      </w:r>
      <w:r>
        <w:rPr>
          <w:rFonts w:cs="Verdana" w:ascii="Verdana" w:hAnsi="Verdana"/>
          <w:sz w:val="20"/>
          <w:szCs w:val="20"/>
        </w:rPr>
        <w:t>legislação</w:t>
      </w:r>
      <w:r>
        <w:rPr>
          <w:rFonts w:cs="Verdana" w:ascii="Verdana" w:hAnsi="Verdana"/>
          <w:spacing w:val="-3"/>
          <w:sz w:val="20"/>
          <w:szCs w:val="20"/>
        </w:rPr>
        <w:t xml:space="preserve"> </w:t>
      </w:r>
      <w:r>
        <w:rPr>
          <w:rFonts w:cs="Verdana" w:ascii="Verdana" w:hAnsi="Verdana"/>
          <w:sz w:val="20"/>
          <w:szCs w:val="20"/>
        </w:rPr>
        <w:t>que</w:t>
      </w:r>
      <w:r>
        <w:rPr>
          <w:rFonts w:cs="Verdana" w:ascii="Verdana" w:hAnsi="Verdana"/>
          <w:spacing w:val="-4"/>
          <w:sz w:val="20"/>
          <w:szCs w:val="20"/>
        </w:rPr>
        <w:t xml:space="preserve"> </w:t>
      </w:r>
      <w:r>
        <w:rPr>
          <w:rFonts w:cs="Verdana" w:ascii="Verdana" w:hAnsi="Verdana"/>
          <w:sz w:val="20"/>
          <w:szCs w:val="20"/>
        </w:rPr>
        <w:t>disciplina</w:t>
      </w:r>
      <w:r>
        <w:rPr>
          <w:rFonts w:cs="Verdana" w:ascii="Verdana" w:hAnsi="Verdana"/>
          <w:spacing w:val="-3"/>
          <w:sz w:val="20"/>
          <w:szCs w:val="20"/>
        </w:rPr>
        <w:t xml:space="preserve"> </w:t>
      </w:r>
      <w:r>
        <w:rPr>
          <w:rFonts w:cs="Verdana" w:ascii="Verdana" w:hAnsi="Verdana"/>
          <w:sz w:val="20"/>
          <w:szCs w:val="20"/>
        </w:rPr>
        <w:t>a</w:t>
      </w:r>
      <w:r>
        <w:rPr>
          <w:rFonts w:cs="Verdana" w:ascii="Verdana" w:hAnsi="Verdana"/>
          <w:spacing w:val="-5"/>
          <w:sz w:val="20"/>
          <w:szCs w:val="20"/>
        </w:rPr>
        <w:t xml:space="preserve"> </w:t>
      </w:r>
      <w:r>
        <w:rPr>
          <w:rFonts w:cs="Verdana" w:ascii="Verdana" w:hAnsi="Verdana"/>
          <w:sz w:val="20"/>
          <w:szCs w:val="20"/>
        </w:rPr>
        <w:t>matéria,</w:t>
      </w:r>
      <w:r>
        <w:rPr>
          <w:rFonts w:cs="Verdana" w:ascii="Verdana" w:hAnsi="Verdana"/>
          <w:spacing w:val="-3"/>
          <w:sz w:val="20"/>
          <w:szCs w:val="20"/>
        </w:rPr>
        <w:t xml:space="preserve"> </w:t>
      </w:r>
      <w:r>
        <w:rPr>
          <w:rFonts w:cs="Verdana" w:ascii="Verdana" w:hAnsi="Verdana"/>
          <w:sz w:val="20"/>
          <w:szCs w:val="20"/>
        </w:rPr>
        <w:t>conforme</w:t>
      </w:r>
      <w:r>
        <w:rPr>
          <w:rFonts w:cs="Verdana" w:ascii="Verdana" w:hAnsi="Verdana"/>
          <w:spacing w:val="-3"/>
          <w:sz w:val="20"/>
          <w:szCs w:val="20"/>
        </w:rPr>
        <w:t xml:space="preserve"> </w:t>
      </w:r>
      <w:r>
        <w:rPr>
          <w:rFonts w:cs="Verdana" w:ascii="Verdana" w:hAnsi="Verdana"/>
          <w:sz w:val="20"/>
          <w:szCs w:val="20"/>
        </w:rPr>
        <w:t>§</w:t>
      </w:r>
      <w:r>
        <w:rPr>
          <w:rFonts w:cs="Verdana" w:ascii="Verdana" w:hAnsi="Verdana"/>
          <w:spacing w:val="-3"/>
          <w:sz w:val="20"/>
          <w:szCs w:val="20"/>
        </w:rPr>
        <w:t xml:space="preserve"> </w:t>
      </w:r>
      <w:r>
        <w:rPr>
          <w:rFonts w:cs="Verdana" w:ascii="Verdana" w:hAnsi="Verdana"/>
          <w:sz w:val="20"/>
          <w:szCs w:val="20"/>
        </w:rPr>
        <w:t>1º</w:t>
      </w:r>
      <w:r>
        <w:rPr>
          <w:rFonts w:cs="Verdana" w:ascii="Verdana" w:hAnsi="Verdana"/>
          <w:spacing w:val="-4"/>
          <w:sz w:val="20"/>
          <w:szCs w:val="20"/>
        </w:rPr>
        <w:t xml:space="preserve"> </w:t>
      </w:r>
      <w:r>
        <w:rPr>
          <w:rFonts w:cs="Verdana" w:ascii="Verdana" w:hAnsi="Verdana"/>
          <w:sz w:val="20"/>
          <w:szCs w:val="20"/>
        </w:rPr>
        <w:t>do</w:t>
      </w:r>
      <w:r>
        <w:rPr>
          <w:rFonts w:cs="Verdana" w:ascii="Verdana" w:hAnsi="Verdana"/>
          <w:spacing w:val="-3"/>
          <w:sz w:val="20"/>
          <w:szCs w:val="20"/>
        </w:rPr>
        <w:t xml:space="preserve"> </w:t>
      </w:r>
      <w:r>
        <w:rPr>
          <w:rFonts w:cs="Verdana" w:ascii="Verdana" w:hAnsi="Verdana"/>
          <w:sz w:val="20"/>
          <w:szCs w:val="20"/>
        </w:rPr>
        <w:t>art.</w:t>
      </w:r>
      <w:r>
        <w:rPr>
          <w:rFonts w:cs="Verdana" w:ascii="Verdana" w:hAnsi="Verdana"/>
          <w:spacing w:val="-3"/>
          <w:sz w:val="20"/>
          <w:szCs w:val="20"/>
        </w:rPr>
        <w:t xml:space="preserve"> </w:t>
      </w:r>
      <w:r>
        <w:rPr>
          <w:rFonts w:cs="Verdana" w:ascii="Verdana" w:hAnsi="Verdana"/>
          <w:sz w:val="20"/>
          <w:szCs w:val="20"/>
        </w:rPr>
        <w:t>9º</w:t>
      </w:r>
      <w:r>
        <w:rPr>
          <w:rFonts w:cs="Verdana" w:ascii="Verdana" w:hAnsi="Verdana"/>
          <w:spacing w:val="-4"/>
          <w:sz w:val="20"/>
          <w:szCs w:val="20"/>
        </w:rPr>
        <w:t xml:space="preserve"> </w:t>
      </w:r>
      <w:r>
        <w:rPr>
          <w:rFonts w:cs="Verdana" w:ascii="Verdana" w:hAnsi="Verdana"/>
          <w:sz w:val="20"/>
          <w:szCs w:val="20"/>
        </w:rPr>
        <w:t>da</w:t>
      </w:r>
      <w:r>
        <w:rPr>
          <w:rFonts w:cs="Verdana" w:ascii="Verdana" w:hAnsi="Verdana"/>
          <w:spacing w:val="-4"/>
          <w:sz w:val="20"/>
          <w:szCs w:val="20"/>
        </w:rPr>
        <w:t xml:space="preserve"> </w:t>
      </w:r>
      <w:r>
        <w:rPr>
          <w:rFonts w:cs="Verdana" w:ascii="Verdana" w:hAnsi="Verdana"/>
          <w:sz w:val="20"/>
          <w:szCs w:val="20"/>
        </w:rPr>
        <w:t>Lei</w:t>
      </w:r>
      <w:r>
        <w:rPr>
          <w:rFonts w:cs="Verdana" w:ascii="Verdana" w:hAnsi="Verdana"/>
          <w:spacing w:val="-3"/>
          <w:sz w:val="20"/>
          <w:szCs w:val="20"/>
        </w:rPr>
        <w:t xml:space="preserve"> </w:t>
      </w:r>
      <w:r>
        <w:rPr>
          <w:rFonts w:cs="Verdana" w:ascii="Verdana" w:hAnsi="Verdana"/>
          <w:sz w:val="20"/>
          <w:szCs w:val="20"/>
        </w:rPr>
        <w:t>nº</w:t>
      </w:r>
      <w:r>
        <w:rPr>
          <w:rFonts w:cs="Verdana" w:ascii="Verdana" w:hAnsi="Verdana"/>
          <w:spacing w:val="-4"/>
          <w:sz w:val="20"/>
          <w:szCs w:val="20"/>
        </w:rPr>
        <w:t xml:space="preserve"> </w:t>
      </w:r>
      <w:r>
        <w:rPr>
          <w:rFonts w:cs="Verdana" w:ascii="Verdana" w:hAnsi="Verdana"/>
          <w:sz w:val="20"/>
          <w:szCs w:val="20"/>
        </w:rPr>
        <w:t>14.133,</w:t>
      </w:r>
      <w:r>
        <w:rPr>
          <w:rFonts w:cs="Verdana" w:ascii="Verdana" w:hAnsi="Verdana"/>
          <w:spacing w:val="-3"/>
          <w:sz w:val="20"/>
          <w:szCs w:val="20"/>
        </w:rPr>
        <w:t xml:space="preserve"> </w:t>
      </w:r>
      <w:r>
        <w:rPr>
          <w:rFonts w:cs="Verdana" w:ascii="Verdana" w:hAnsi="Verdana"/>
          <w:sz w:val="20"/>
          <w:szCs w:val="20"/>
        </w:rPr>
        <w:t xml:space="preserve">de </w:t>
      </w:r>
      <w:r>
        <w:rPr>
          <w:rFonts w:cs="Verdana" w:ascii="Verdana" w:hAnsi="Verdana"/>
          <w:spacing w:val="-2"/>
          <w:sz w:val="20"/>
          <w:szCs w:val="20"/>
        </w:rPr>
        <w:t>2021.</w:t>
      </w:r>
    </w:p>
    <w:p>
      <w:pPr>
        <w:pStyle w:val="ListParagraph"/>
        <w:tabs>
          <w:tab w:val="clear" w:pos="709"/>
          <w:tab w:val="left" w:pos="855" w:leader="none"/>
        </w:tabs>
        <w:spacing w:before="1" w:after="0"/>
        <w:ind w:left="0" w:right="193"/>
        <w:jc w:val="both"/>
        <w:rPr>
          <w:rFonts w:ascii="Verdana" w:hAnsi="Verdana" w:cs="Verdana"/>
          <w:sz w:val="20"/>
          <w:szCs w:val="20"/>
        </w:rPr>
      </w:pPr>
      <w:r>
        <w:rPr>
          <w:rFonts w:cs="Verdana" w:ascii="Verdana" w:hAnsi="Verdana"/>
          <w:sz w:val="20"/>
          <w:szCs w:val="20"/>
        </w:rPr>
        <w:t>6.7.7.1 O</w:t>
      </w:r>
      <w:r>
        <w:rPr>
          <w:rFonts w:cs="Verdana" w:ascii="Verdana" w:hAnsi="Verdana"/>
          <w:spacing w:val="-2"/>
          <w:sz w:val="20"/>
          <w:szCs w:val="20"/>
        </w:rPr>
        <w:t xml:space="preserve"> </w:t>
      </w:r>
      <w:r>
        <w:rPr>
          <w:rFonts w:cs="Verdana" w:ascii="Verdana" w:hAnsi="Verdana"/>
          <w:sz w:val="20"/>
          <w:szCs w:val="20"/>
        </w:rPr>
        <w:t>impedimento de</w:t>
      </w:r>
      <w:r>
        <w:rPr>
          <w:rFonts w:cs="Verdana" w:ascii="Verdana" w:hAnsi="Verdana"/>
          <w:spacing w:val="-2"/>
          <w:sz w:val="20"/>
          <w:szCs w:val="20"/>
        </w:rPr>
        <w:t xml:space="preserve"> </w:t>
      </w:r>
      <w:r>
        <w:rPr>
          <w:rFonts w:cs="Verdana" w:ascii="Verdana" w:hAnsi="Verdana"/>
          <w:sz w:val="20"/>
          <w:szCs w:val="20"/>
        </w:rPr>
        <w:t>que trata</w:t>
      </w:r>
      <w:r>
        <w:rPr>
          <w:rFonts w:cs="Verdana" w:ascii="Verdana" w:hAnsi="Verdana"/>
          <w:spacing w:val="-2"/>
          <w:sz w:val="20"/>
          <w:szCs w:val="20"/>
        </w:rPr>
        <w:t xml:space="preserve"> </w:t>
      </w:r>
      <w:r>
        <w:rPr>
          <w:rFonts w:cs="Verdana" w:ascii="Verdana" w:hAnsi="Verdana"/>
          <w:sz w:val="20"/>
          <w:szCs w:val="20"/>
        </w:rPr>
        <w:t>será</w:t>
      </w:r>
      <w:r>
        <w:rPr>
          <w:rFonts w:cs="Verdana" w:ascii="Verdana" w:hAnsi="Verdana"/>
          <w:spacing w:val="-1"/>
          <w:sz w:val="20"/>
          <w:szCs w:val="20"/>
        </w:rPr>
        <w:t xml:space="preserve"> </w:t>
      </w:r>
      <w:r>
        <w:rPr>
          <w:rFonts w:cs="Verdana" w:ascii="Verdana" w:hAnsi="Verdana"/>
          <w:sz w:val="20"/>
          <w:szCs w:val="20"/>
        </w:rPr>
        <w:t>também</w:t>
      </w:r>
      <w:r>
        <w:rPr>
          <w:rFonts w:cs="Verdana" w:ascii="Verdana" w:hAnsi="Verdana"/>
          <w:spacing w:val="-1"/>
          <w:sz w:val="20"/>
          <w:szCs w:val="20"/>
        </w:rPr>
        <w:t xml:space="preserve"> </w:t>
      </w:r>
      <w:r>
        <w:rPr>
          <w:rFonts w:cs="Verdana" w:ascii="Verdana" w:hAnsi="Verdana"/>
          <w:sz w:val="20"/>
          <w:szCs w:val="20"/>
        </w:rPr>
        <w:t>aplicado</w:t>
      </w:r>
      <w:r>
        <w:rPr>
          <w:rFonts w:cs="Verdana" w:ascii="Verdana" w:hAnsi="Verdana"/>
          <w:spacing w:val="-1"/>
          <w:sz w:val="20"/>
          <w:szCs w:val="20"/>
        </w:rPr>
        <w:t xml:space="preserve"> </w:t>
      </w:r>
      <w:r>
        <w:rPr>
          <w:rFonts w:cs="Verdana" w:ascii="Verdana" w:hAnsi="Verdana"/>
          <w:sz w:val="20"/>
          <w:szCs w:val="20"/>
        </w:rPr>
        <w:t>ao</w:t>
      </w:r>
      <w:r>
        <w:rPr>
          <w:rFonts w:cs="Verdana" w:ascii="Verdana" w:hAnsi="Verdana"/>
          <w:spacing w:val="-1"/>
          <w:sz w:val="20"/>
          <w:szCs w:val="20"/>
        </w:rPr>
        <w:t xml:space="preserve"> </w:t>
      </w:r>
      <w:r>
        <w:rPr>
          <w:rFonts w:cs="Verdana" w:ascii="Verdana" w:hAnsi="Verdana"/>
          <w:sz w:val="20"/>
          <w:szCs w:val="20"/>
        </w:rPr>
        <w:t>licitante</w:t>
      </w:r>
      <w:r>
        <w:rPr>
          <w:rFonts w:cs="Verdana" w:ascii="Verdana" w:hAnsi="Verdana"/>
          <w:spacing w:val="-2"/>
          <w:sz w:val="20"/>
          <w:szCs w:val="20"/>
        </w:rPr>
        <w:t xml:space="preserve"> </w:t>
      </w:r>
      <w:r>
        <w:rPr>
          <w:rFonts w:cs="Verdana" w:ascii="Verdana" w:hAnsi="Verdana"/>
          <w:sz w:val="20"/>
          <w:szCs w:val="20"/>
        </w:rPr>
        <w:t>que atue em</w:t>
      </w:r>
      <w:r>
        <w:rPr>
          <w:rFonts w:cs="Verdana" w:ascii="Verdana" w:hAnsi="Verdana"/>
          <w:spacing w:val="-15"/>
          <w:sz w:val="20"/>
          <w:szCs w:val="20"/>
        </w:rPr>
        <w:t xml:space="preserve"> </w:t>
      </w:r>
      <w:r>
        <w:rPr>
          <w:rFonts w:cs="Verdana" w:ascii="Verdana" w:hAnsi="Verdana"/>
          <w:sz w:val="20"/>
          <w:szCs w:val="20"/>
        </w:rPr>
        <w:t>substituição</w:t>
      </w:r>
      <w:r>
        <w:rPr>
          <w:rFonts w:cs="Verdana" w:ascii="Verdana" w:hAnsi="Verdana"/>
          <w:spacing w:val="-14"/>
          <w:sz w:val="20"/>
          <w:szCs w:val="20"/>
        </w:rPr>
        <w:t xml:space="preserve"> </w:t>
      </w:r>
      <w:r>
        <w:rPr>
          <w:rFonts w:cs="Verdana" w:ascii="Verdana" w:hAnsi="Verdana"/>
          <w:sz w:val="20"/>
          <w:szCs w:val="20"/>
        </w:rPr>
        <w:t>a</w:t>
      </w:r>
      <w:r>
        <w:rPr>
          <w:rFonts w:cs="Verdana" w:ascii="Verdana" w:hAnsi="Verdana"/>
          <w:spacing w:val="-15"/>
          <w:sz w:val="20"/>
          <w:szCs w:val="20"/>
        </w:rPr>
        <w:t xml:space="preserve"> </w:t>
      </w:r>
      <w:r>
        <w:rPr>
          <w:rFonts w:cs="Verdana" w:ascii="Verdana" w:hAnsi="Verdana"/>
          <w:sz w:val="20"/>
          <w:szCs w:val="20"/>
        </w:rPr>
        <w:t>outra</w:t>
      </w:r>
      <w:r>
        <w:rPr>
          <w:rFonts w:cs="Verdana" w:ascii="Verdana" w:hAnsi="Verdana"/>
          <w:spacing w:val="-15"/>
          <w:sz w:val="20"/>
          <w:szCs w:val="20"/>
        </w:rPr>
        <w:t xml:space="preserve"> </w:t>
      </w:r>
      <w:r>
        <w:rPr>
          <w:rFonts w:cs="Verdana" w:ascii="Verdana" w:hAnsi="Verdana"/>
          <w:sz w:val="20"/>
          <w:szCs w:val="20"/>
        </w:rPr>
        <w:t>pessoa,</w:t>
      </w:r>
      <w:r>
        <w:rPr>
          <w:rFonts w:cs="Verdana" w:ascii="Verdana" w:hAnsi="Verdana"/>
          <w:spacing w:val="-15"/>
          <w:sz w:val="20"/>
          <w:szCs w:val="20"/>
        </w:rPr>
        <w:t xml:space="preserve"> </w:t>
      </w:r>
      <w:r>
        <w:rPr>
          <w:rFonts w:cs="Verdana" w:ascii="Verdana" w:hAnsi="Verdana"/>
          <w:sz w:val="20"/>
          <w:szCs w:val="20"/>
        </w:rPr>
        <w:t>física</w:t>
      </w:r>
      <w:r>
        <w:rPr>
          <w:rFonts w:cs="Verdana" w:ascii="Verdana" w:hAnsi="Verdana"/>
          <w:spacing w:val="-15"/>
          <w:sz w:val="20"/>
          <w:szCs w:val="20"/>
        </w:rPr>
        <w:t xml:space="preserve"> </w:t>
      </w:r>
      <w:r>
        <w:rPr>
          <w:rFonts w:cs="Verdana" w:ascii="Verdana" w:hAnsi="Verdana"/>
          <w:sz w:val="20"/>
          <w:szCs w:val="20"/>
        </w:rPr>
        <w:t>ou</w:t>
      </w:r>
      <w:r>
        <w:rPr>
          <w:rFonts w:cs="Verdana" w:ascii="Verdana" w:hAnsi="Verdana"/>
          <w:spacing w:val="-14"/>
          <w:sz w:val="20"/>
          <w:szCs w:val="20"/>
        </w:rPr>
        <w:t xml:space="preserve"> </w:t>
      </w:r>
      <w:r>
        <w:rPr>
          <w:rFonts w:cs="Verdana" w:ascii="Verdana" w:hAnsi="Verdana"/>
          <w:sz w:val="20"/>
          <w:szCs w:val="20"/>
        </w:rPr>
        <w:t>jurídica,</w:t>
      </w:r>
      <w:r>
        <w:rPr>
          <w:rFonts w:cs="Verdana" w:ascii="Verdana" w:hAnsi="Verdana"/>
          <w:spacing w:val="-14"/>
          <w:sz w:val="20"/>
          <w:szCs w:val="20"/>
        </w:rPr>
        <w:t xml:space="preserve"> </w:t>
      </w:r>
      <w:r>
        <w:rPr>
          <w:rFonts w:cs="Verdana" w:ascii="Verdana" w:hAnsi="Verdana"/>
          <w:sz w:val="20"/>
          <w:szCs w:val="20"/>
        </w:rPr>
        <w:t>com</w:t>
      </w:r>
      <w:r>
        <w:rPr>
          <w:rFonts w:cs="Verdana" w:ascii="Verdana" w:hAnsi="Verdana"/>
          <w:spacing w:val="-14"/>
          <w:sz w:val="20"/>
          <w:szCs w:val="20"/>
        </w:rPr>
        <w:t xml:space="preserve"> </w:t>
      </w:r>
      <w:r>
        <w:rPr>
          <w:rFonts w:cs="Verdana" w:ascii="Verdana" w:hAnsi="Verdana"/>
          <w:sz w:val="20"/>
          <w:szCs w:val="20"/>
        </w:rPr>
        <w:t>o</w:t>
      </w:r>
      <w:r>
        <w:rPr>
          <w:rFonts w:cs="Verdana" w:ascii="Verdana" w:hAnsi="Verdana"/>
          <w:spacing w:val="-14"/>
          <w:sz w:val="20"/>
          <w:szCs w:val="20"/>
        </w:rPr>
        <w:t xml:space="preserve"> </w:t>
      </w:r>
      <w:r>
        <w:rPr>
          <w:rFonts w:cs="Verdana" w:ascii="Verdana" w:hAnsi="Verdana"/>
          <w:sz w:val="20"/>
          <w:szCs w:val="20"/>
        </w:rPr>
        <w:t>intuito</w:t>
      </w:r>
      <w:r>
        <w:rPr>
          <w:rFonts w:cs="Verdana" w:ascii="Verdana" w:hAnsi="Verdana"/>
          <w:spacing w:val="-14"/>
          <w:sz w:val="20"/>
          <w:szCs w:val="20"/>
        </w:rPr>
        <w:t xml:space="preserve"> </w:t>
      </w:r>
      <w:r>
        <w:rPr>
          <w:rFonts w:cs="Verdana" w:ascii="Verdana" w:hAnsi="Verdana"/>
          <w:sz w:val="20"/>
          <w:szCs w:val="20"/>
        </w:rPr>
        <w:t>de</w:t>
      </w:r>
      <w:r>
        <w:rPr>
          <w:rFonts w:cs="Verdana" w:ascii="Verdana" w:hAnsi="Verdana"/>
          <w:spacing w:val="-15"/>
          <w:sz w:val="20"/>
          <w:szCs w:val="20"/>
        </w:rPr>
        <w:t xml:space="preserve"> </w:t>
      </w:r>
      <w:r>
        <w:rPr>
          <w:rFonts w:cs="Verdana" w:ascii="Verdana" w:hAnsi="Verdana"/>
          <w:sz w:val="20"/>
          <w:szCs w:val="20"/>
        </w:rPr>
        <w:t>burlar</w:t>
      </w:r>
      <w:r>
        <w:rPr>
          <w:rFonts w:cs="Verdana" w:ascii="Verdana" w:hAnsi="Verdana"/>
          <w:spacing w:val="-15"/>
          <w:sz w:val="20"/>
          <w:szCs w:val="20"/>
        </w:rPr>
        <w:t xml:space="preserve"> </w:t>
      </w:r>
      <w:r>
        <w:rPr>
          <w:rFonts w:cs="Verdana" w:ascii="Verdana" w:hAnsi="Verdana"/>
          <w:sz w:val="20"/>
          <w:szCs w:val="20"/>
        </w:rPr>
        <w:t>a</w:t>
      </w:r>
      <w:r>
        <w:rPr>
          <w:rFonts w:cs="Verdana" w:ascii="Verdana" w:hAnsi="Verdana"/>
          <w:spacing w:val="-15"/>
          <w:sz w:val="20"/>
          <w:szCs w:val="20"/>
        </w:rPr>
        <w:t xml:space="preserve"> </w:t>
      </w:r>
      <w:r>
        <w:rPr>
          <w:rFonts w:cs="Verdana" w:ascii="Verdana" w:hAnsi="Verdana"/>
          <w:sz w:val="20"/>
          <w:szCs w:val="20"/>
        </w:rPr>
        <w:t>efetividade</w:t>
      </w:r>
      <w:r>
        <w:rPr>
          <w:rFonts w:cs="Verdana" w:ascii="Verdana" w:hAnsi="Verdana"/>
          <w:spacing w:val="-15"/>
          <w:sz w:val="20"/>
          <w:szCs w:val="20"/>
        </w:rPr>
        <w:t xml:space="preserve"> </w:t>
      </w:r>
      <w:r>
        <w:rPr>
          <w:rFonts w:cs="Verdana" w:ascii="Verdana" w:hAnsi="Verdana"/>
          <w:sz w:val="20"/>
          <w:szCs w:val="20"/>
        </w:rPr>
        <w:t>da</w:t>
      </w:r>
      <w:r>
        <w:rPr>
          <w:rFonts w:cs="Verdana" w:ascii="Verdana" w:hAnsi="Verdana"/>
          <w:spacing w:val="-15"/>
          <w:sz w:val="20"/>
          <w:szCs w:val="20"/>
        </w:rPr>
        <w:t xml:space="preserve"> </w:t>
      </w:r>
      <w:r>
        <w:rPr>
          <w:rFonts w:cs="Verdana" w:ascii="Verdana" w:hAnsi="Verdana"/>
          <w:sz w:val="20"/>
          <w:szCs w:val="20"/>
        </w:rPr>
        <w:t>sanção a ela aplicada, inclusive a sua controladora, controlada ou coligada, desde que devidamente</w:t>
      </w:r>
      <w:r>
        <w:rPr>
          <w:rFonts w:cs="Verdana" w:ascii="Verdana" w:hAnsi="Verdana"/>
          <w:spacing w:val="80"/>
          <w:sz w:val="20"/>
          <w:szCs w:val="20"/>
        </w:rPr>
        <w:t xml:space="preserve"> </w:t>
      </w:r>
      <w:r>
        <w:rPr>
          <w:rFonts w:cs="Verdana" w:ascii="Verdana" w:hAnsi="Verdana"/>
          <w:sz w:val="20"/>
          <w:szCs w:val="20"/>
        </w:rPr>
        <w:t>comprovado o ilícito ou a utilização fraudulenta da personalidade jurídica do licitante.</w:t>
      </w:r>
    </w:p>
    <w:p>
      <w:pPr>
        <w:pStyle w:val="ListParagraph"/>
        <w:tabs>
          <w:tab w:val="clear" w:pos="709"/>
          <w:tab w:val="left" w:pos="884" w:leader="none"/>
        </w:tabs>
        <w:spacing w:before="0" w:after="0"/>
        <w:ind w:left="0" w:right="170"/>
        <w:jc w:val="both"/>
        <w:rPr>
          <w:rFonts w:ascii="Verdana" w:hAnsi="Verdana" w:cs="Verdana"/>
          <w:sz w:val="20"/>
          <w:szCs w:val="20"/>
        </w:rPr>
      </w:pPr>
      <w:r>
        <w:rPr>
          <w:rFonts w:cs="Verdana" w:ascii="Verdana" w:hAnsi="Verdana"/>
          <w:sz w:val="20"/>
          <w:szCs w:val="20"/>
        </w:rPr>
        <w:t>6.7.8 A critério da Administração e exclusivamente a seu serviço, o autor dos projetos e a empresa a que se referem os itens 6.7.2 e 6.7.3 poderão participar no apoio das atividades de planejamento</w:t>
      </w:r>
      <w:r>
        <w:rPr>
          <w:rFonts w:cs="Verdana" w:ascii="Verdana" w:hAnsi="Verdana"/>
          <w:spacing w:val="-3"/>
          <w:sz w:val="20"/>
          <w:szCs w:val="20"/>
        </w:rPr>
        <w:t xml:space="preserve"> </w:t>
      </w:r>
      <w:r>
        <w:rPr>
          <w:rFonts w:cs="Verdana" w:ascii="Verdana" w:hAnsi="Verdana"/>
          <w:sz w:val="20"/>
          <w:szCs w:val="20"/>
        </w:rPr>
        <w:t>da</w:t>
      </w:r>
      <w:r>
        <w:rPr>
          <w:rFonts w:cs="Verdana" w:ascii="Verdana" w:hAnsi="Verdana"/>
          <w:spacing w:val="-3"/>
          <w:sz w:val="20"/>
          <w:szCs w:val="20"/>
        </w:rPr>
        <w:t xml:space="preserve"> </w:t>
      </w:r>
      <w:r>
        <w:rPr>
          <w:rFonts w:cs="Verdana" w:ascii="Verdana" w:hAnsi="Verdana"/>
          <w:sz w:val="20"/>
          <w:szCs w:val="20"/>
        </w:rPr>
        <w:t>contratação,</w:t>
      </w:r>
      <w:r>
        <w:rPr>
          <w:rFonts w:cs="Verdana" w:ascii="Verdana" w:hAnsi="Verdana"/>
          <w:spacing w:val="-3"/>
          <w:sz w:val="20"/>
          <w:szCs w:val="20"/>
        </w:rPr>
        <w:t xml:space="preserve"> </w:t>
      </w:r>
      <w:r>
        <w:rPr>
          <w:rFonts w:cs="Verdana" w:ascii="Verdana" w:hAnsi="Verdana"/>
          <w:sz w:val="20"/>
          <w:szCs w:val="20"/>
        </w:rPr>
        <w:t>de</w:t>
      </w:r>
      <w:r>
        <w:rPr>
          <w:rFonts w:cs="Verdana" w:ascii="Verdana" w:hAnsi="Verdana"/>
          <w:spacing w:val="-4"/>
          <w:sz w:val="20"/>
          <w:szCs w:val="20"/>
        </w:rPr>
        <w:t xml:space="preserve"> </w:t>
      </w:r>
      <w:r>
        <w:rPr>
          <w:rFonts w:cs="Verdana" w:ascii="Verdana" w:hAnsi="Verdana"/>
          <w:sz w:val="20"/>
          <w:szCs w:val="20"/>
        </w:rPr>
        <w:t>execução</w:t>
      </w:r>
      <w:r>
        <w:rPr>
          <w:rFonts w:cs="Verdana" w:ascii="Verdana" w:hAnsi="Verdana"/>
          <w:spacing w:val="-3"/>
          <w:sz w:val="20"/>
          <w:szCs w:val="20"/>
        </w:rPr>
        <w:t xml:space="preserve"> </w:t>
      </w:r>
      <w:r>
        <w:rPr>
          <w:rFonts w:cs="Verdana" w:ascii="Verdana" w:hAnsi="Verdana"/>
          <w:sz w:val="20"/>
          <w:szCs w:val="20"/>
        </w:rPr>
        <w:t>da</w:t>
      </w:r>
      <w:r>
        <w:rPr>
          <w:rFonts w:cs="Verdana" w:ascii="Verdana" w:hAnsi="Verdana"/>
          <w:spacing w:val="-4"/>
          <w:sz w:val="20"/>
          <w:szCs w:val="20"/>
        </w:rPr>
        <w:t xml:space="preserve"> </w:t>
      </w:r>
      <w:r>
        <w:rPr>
          <w:rFonts w:cs="Verdana" w:ascii="Verdana" w:hAnsi="Verdana"/>
          <w:sz w:val="20"/>
          <w:szCs w:val="20"/>
        </w:rPr>
        <w:t>licitação</w:t>
      </w:r>
      <w:r>
        <w:rPr>
          <w:rFonts w:cs="Verdana" w:ascii="Verdana" w:hAnsi="Verdana"/>
          <w:spacing w:val="-3"/>
          <w:sz w:val="20"/>
          <w:szCs w:val="20"/>
        </w:rPr>
        <w:t xml:space="preserve"> </w:t>
      </w:r>
      <w:r>
        <w:rPr>
          <w:rFonts w:cs="Verdana" w:ascii="Verdana" w:hAnsi="Verdana"/>
          <w:sz w:val="20"/>
          <w:szCs w:val="20"/>
        </w:rPr>
        <w:t>ou</w:t>
      </w:r>
      <w:r>
        <w:rPr>
          <w:rFonts w:cs="Verdana" w:ascii="Verdana" w:hAnsi="Verdana"/>
          <w:spacing w:val="-3"/>
          <w:sz w:val="20"/>
          <w:szCs w:val="20"/>
        </w:rPr>
        <w:t xml:space="preserve"> </w:t>
      </w:r>
      <w:r>
        <w:rPr>
          <w:rFonts w:cs="Verdana" w:ascii="Verdana" w:hAnsi="Verdana"/>
          <w:sz w:val="20"/>
          <w:szCs w:val="20"/>
        </w:rPr>
        <w:t>de</w:t>
      </w:r>
      <w:r>
        <w:rPr>
          <w:rFonts w:cs="Verdana" w:ascii="Verdana" w:hAnsi="Verdana"/>
          <w:spacing w:val="-4"/>
          <w:sz w:val="20"/>
          <w:szCs w:val="20"/>
        </w:rPr>
        <w:t xml:space="preserve"> </w:t>
      </w:r>
      <w:r>
        <w:rPr>
          <w:rFonts w:cs="Verdana" w:ascii="Verdana" w:hAnsi="Verdana"/>
          <w:sz w:val="20"/>
          <w:szCs w:val="20"/>
        </w:rPr>
        <w:t>gestão</w:t>
      </w:r>
      <w:r>
        <w:rPr>
          <w:rFonts w:cs="Verdana" w:ascii="Verdana" w:hAnsi="Verdana"/>
          <w:spacing w:val="-3"/>
          <w:sz w:val="20"/>
          <w:szCs w:val="20"/>
        </w:rPr>
        <w:t xml:space="preserve"> </w:t>
      </w:r>
      <w:r>
        <w:rPr>
          <w:rFonts w:cs="Verdana" w:ascii="Verdana" w:hAnsi="Verdana"/>
          <w:sz w:val="20"/>
          <w:szCs w:val="20"/>
        </w:rPr>
        <w:t>do</w:t>
      </w:r>
      <w:r>
        <w:rPr>
          <w:rFonts w:cs="Verdana" w:ascii="Verdana" w:hAnsi="Verdana"/>
          <w:spacing w:val="-3"/>
          <w:sz w:val="20"/>
          <w:szCs w:val="20"/>
        </w:rPr>
        <w:t xml:space="preserve"> </w:t>
      </w:r>
      <w:r>
        <w:rPr>
          <w:rFonts w:cs="Verdana" w:ascii="Verdana" w:hAnsi="Verdana"/>
          <w:sz w:val="20"/>
          <w:szCs w:val="20"/>
        </w:rPr>
        <w:t>contrato,</w:t>
      </w:r>
      <w:r>
        <w:rPr>
          <w:rFonts w:cs="Verdana" w:ascii="Verdana" w:hAnsi="Verdana"/>
          <w:spacing w:val="-3"/>
          <w:sz w:val="20"/>
          <w:szCs w:val="20"/>
        </w:rPr>
        <w:t xml:space="preserve"> </w:t>
      </w:r>
      <w:r>
        <w:rPr>
          <w:rFonts w:cs="Verdana" w:ascii="Verdana" w:hAnsi="Verdana"/>
          <w:sz w:val="20"/>
          <w:szCs w:val="20"/>
        </w:rPr>
        <w:t>desde</w:t>
      </w:r>
      <w:r>
        <w:rPr>
          <w:rFonts w:cs="Verdana" w:ascii="Verdana" w:hAnsi="Verdana"/>
          <w:spacing w:val="-5"/>
          <w:sz w:val="20"/>
          <w:szCs w:val="20"/>
        </w:rPr>
        <w:t xml:space="preserve"> </w:t>
      </w:r>
      <w:r>
        <w:rPr>
          <w:rFonts w:cs="Verdana" w:ascii="Verdana" w:hAnsi="Verdana"/>
          <w:sz w:val="20"/>
          <w:szCs w:val="20"/>
        </w:rPr>
        <w:t>que</w:t>
      </w:r>
      <w:r>
        <w:rPr>
          <w:rFonts w:cs="Verdana" w:ascii="Verdana" w:hAnsi="Verdana"/>
          <w:spacing w:val="-4"/>
          <w:sz w:val="20"/>
          <w:szCs w:val="20"/>
        </w:rPr>
        <w:t xml:space="preserve"> </w:t>
      </w:r>
      <w:r>
        <w:rPr>
          <w:rFonts w:cs="Verdana" w:ascii="Verdana" w:hAnsi="Verdana"/>
          <w:sz w:val="20"/>
          <w:szCs w:val="20"/>
        </w:rPr>
        <w:t>sob supervisão exclusiva de agentes públicos do órgão ou entidade.</w:t>
      </w:r>
    </w:p>
    <w:p>
      <w:pPr>
        <w:pStyle w:val="ListParagraph"/>
        <w:tabs>
          <w:tab w:val="clear" w:pos="709"/>
          <w:tab w:val="left" w:pos="900" w:leader="none"/>
        </w:tabs>
        <w:spacing w:before="1" w:after="0"/>
        <w:ind w:left="0" w:right="195"/>
        <w:jc w:val="both"/>
        <w:rPr>
          <w:rFonts w:ascii="Verdana" w:hAnsi="Verdana" w:cs="Verdana"/>
          <w:sz w:val="20"/>
          <w:szCs w:val="20"/>
        </w:rPr>
      </w:pPr>
      <w:r>
        <w:rPr>
          <w:rFonts w:cs="Verdana" w:ascii="Verdana" w:hAnsi="Verdana"/>
          <w:sz w:val="20"/>
          <w:szCs w:val="20"/>
        </w:rPr>
        <w:t xml:space="preserve">6.7.8.1 Equiparam-se aos autores do projeto as empresas integrantes do mesmo grupo </w:t>
      </w:r>
      <w:r>
        <w:rPr>
          <w:rFonts w:cs="Verdana" w:ascii="Verdana" w:hAnsi="Verdana"/>
          <w:spacing w:val="-2"/>
          <w:sz w:val="20"/>
          <w:szCs w:val="20"/>
        </w:rPr>
        <w:t>econômico.</w:t>
      </w:r>
    </w:p>
    <w:p>
      <w:pPr>
        <w:pStyle w:val="ListParagraph"/>
        <w:tabs>
          <w:tab w:val="clear" w:pos="709"/>
          <w:tab w:val="left" w:pos="900" w:leader="none"/>
        </w:tabs>
        <w:spacing w:before="1" w:after="0"/>
        <w:ind w:left="0" w:right="195"/>
        <w:jc w:val="both"/>
        <w:rPr>
          <w:rFonts w:ascii="Verdana" w:hAnsi="Verdana" w:cs="Verdana"/>
          <w:sz w:val="20"/>
          <w:szCs w:val="20"/>
        </w:rPr>
      </w:pPr>
      <w:r>
        <w:rPr>
          <w:rFonts w:cs="Verdana" w:ascii="Verdana" w:hAnsi="Verdana"/>
          <w:sz w:val="20"/>
          <w:szCs w:val="20"/>
        </w:rPr>
        <w:t>6.7.9 O</w:t>
      </w:r>
      <w:r>
        <w:rPr>
          <w:rFonts w:cs="Verdana" w:ascii="Verdana" w:hAnsi="Verdana"/>
          <w:spacing w:val="-10"/>
          <w:sz w:val="20"/>
          <w:szCs w:val="20"/>
        </w:rPr>
        <w:t xml:space="preserve"> </w:t>
      </w:r>
      <w:r>
        <w:rPr>
          <w:rFonts w:cs="Verdana" w:ascii="Verdana" w:hAnsi="Verdana"/>
          <w:sz w:val="20"/>
          <w:szCs w:val="20"/>
        </w:rPr>
        <w:t>disposto</w:t>
      </w:r>
      <w:r>
        <w:rPr>
          <w:rFonts w:cs="Verdana" w:ascii="Verdana" w:hAnsi="Verdana"/>
          <w:spacing w:val="-9"/>
          <w:sz w:val="20"/>
          <w:szCs w:val="20"/>
        </w:rPr>
        <w:t xml:space="preserve"> </w:t>
      </w:r>
      <w:r>
        <w:rPr>
          <w:rFonts w:cs="Verdana" w:ascii="Verdana" w:hAnsi="Verdana"/>
          <w:sz w:val="20"/>
          <w:szCs w:val="20"/>
        </w:rPr>
        <w:t>nos</w:t>
      </w:r>
      <w:r>
        <w:rPr>
          <w:rFonts w:cs="Verdana" w:ascii="Verdana" w:hAnsi="Verdana"/>
          <w:spacing w:val="-9"/>
          <w:sz w:val="20"/>
          <w:szCs w:val="20"/>
        </w:rPr>
        <w:t xml:space="preserve"> </w:t>
      </w:r>
      <w:r>
        <w:rPr>
          <w:rFonts w:cs="Verdana" w:ascii="Verdana" w:hAnsi="Verdana"/>
          <w:sz w:val="20"/>
          <w:szCs w:val="20"/>
        </w:rPr>
        <w:t>itens</w:t>
      </w:r>
      <w:r>
        <w:rPr>
          <w:rFonts w:cs="Verdana" w:ascii="Verdana" w:hAnsi="Verdana"/>
          <w:spacing w:val="-8"/>
          <w:sz w:val="20"/>
          <w:szCs w:val="20"/>
        </w:rPr>
        <w:t xml:space="preserve"> 6</w:t>
      </w:r>
      <w:r>
        <w:rPr>
          <w:rFonts w:cs="Verdana" w:ascii="Verdana" w:hAnsi="Verdana"/>
          <w:sz w:val="20"/>
          <w:szCs w:val="20"/>
        </w:rPr>
        <w:t>.7.2</w:t>
      </w:r>
      <w:r>
        <w:rPr>
          <w:rFonts w:cs="Verdana" w:ascii="Verdana" w:hAnsi="Verdana"/>
          <w:spacing w:val="-10"/>
          <w:sz w:val="20"/>
          <w:szCs w:val="20"/>
        </w:rPr>
        <w:t xml:space="preserve"> </w:t>
      </w:r>
      <w:r>
        <w:rPr>
          <w:rFonts w:cs="Verdana" w:ascii="Verdana" w:hAnsi="Verdana"/>
          <w:sz w:val="20"/>
          <w:szCs w:val="20"/>
        </w:rPr>
        <w:t>e</w:t>
      </w:r>
      <w:r>
        <w:rPr>
          <w:rFonts w:cs="Verdana" w:ascii="Verdana" w:hAnsi="Verdana"/>
          <w:spacing w:val="-11"/>
          <w:sz w:val="20"/>
          <w:szCs w:val="20"/>
        </w:rPr>
        <w:t xml:space="preserve"> 6</w:t>
      </w:r>
      <w:r>
        <w:rPr>
          <w:rFonts w:cs="Verdana" w:ascii="Verdana" w:hAnsi="Verdana"/>
          <w:sz w:val="20"/>
          <w:szCs w:val="20"/>
        </w:rPr>
        <w:t>.7.3</w:t>
      </w:r>
      <w:r>
        <w:rPr>
          <w:rFonts w:cs="Verdana" w:ascii="Verdana" w:hAnsi="Verdana"/>
          <w:spacing w:val="-10"/>
          <w:sz w:val="20"/>
          <w:szCs w:val="20"/>
        </w:rPr>
        <w:t xml:space="preserve"> </w:t>
      </w:r>
      <w:r>
        <w:rPr>
          <w:rFonts w:cs="Verdana" w:ascii="Verdana" w:hAnsi="Verdana"/>
          <w:sz w:val="20"/>
          <w:szCs w:val="20"/>
        </w:rPr>
        <w:t>não</w:t>
      </w:r>
      <w:r>
        <w:rPr>
          <w:rFonts w:cs="Verdana" w:ascii="Verdana" w:hAnsi="Verdana"/>
          <w:spacing w:val="-10"/>
          <w:sz w:val="20"/>
          <w:szCs w:val="20"/>
        </w:rPr>
        <w:t xml:space="preserve"> </w:t>
      </w:r>
      <w:r>
        <w:rPr>
          <w:rFonts w:cs="Verdana" w:ascii="Verdana" w:hAnsi="Verdana"/>
          <w:sz w:val="20"/>
          <w:szCs w:val="20"/>
        </w:rPr>
        <w:t>impede</w:t>
      </w:r>
      <w:r>
        <w:rPr>
          <w:rFonts w:cs="Verdana" w:ascii="Verdana" w:hAnsi="Verdana"/>
          <w:spacing w:val="-11"/>
          <w:sz w:val="20"/>
          <w:szCs w:val="20"/>
        </w:rPr>
        <w:t xml:space="preserve"> </w:t>
      </w:r>
      <w:r>
        <w:rPr>
          <w:rFonts w:cs="Verdana" w:ascii="Verdana" w:hAnsi="Verdana"/>
          <w:sz w:val="20"/>
          <w:szCs w:val="20"/>
        </w:rPr>
        <w:t>a</w:t>
      </w:r>
      <w:r>
        <w:rPr>
          <w:rFonts w:cs="Verdana" w:ascii="Verdana" w:hAnsi="Verdana"/>
          <w:spacing w:val="-11"/>
          <w:sz w:val="20"/>
          <w:szCs w:val="20"/>
        </w:rPr>
        <w:t xml:space="preserve"> </w:t>
      </w:r>
      <w:r>
        <w:rPr>
          <w:rFonts w:cs="Verdana" w:ascii="Verdana" w:hAnsi="Verdana"/>
          <w:sz w:val="20"/>
          <w:szCs w:val="20"/>
        </w:rPr>
        <w:t>licitação</w:t>
      </w:r>
      <w:r>
        <w:rPr>
          <w:rFonts w:cs="Verdana" w:ascii="Verdana" w:hAnsi="Verdana"/>
          <w:spacing w:val="-10"/>
          <w:sz w:val="20"/>
          <w:szCs w:val="20"/>
        </w:rPr>
        <w:t xml:space="preserve"> </w:t>
      </w:r>
      <w:r>
        <w:rPr>
          <w:rFonts w:cs="Verdana" w:ascii="Verdana" w:hAnsi="Verdana"/>
          <w:sz w:val="20"/>
          <w:szCs w:val="20"/>
        </w:rPr>
        <w:t>ou</w:t>
      </w:r>
      <w:r>
        <w:rPr>
          <w:rFonts w:cs="Verdana" w:ascii="Verdana" w:hAnsi="Verdana"/>
          <w:spacing w:val="-10"/>
          <w:sz w:val="20"/>
          <w:szCs w:val="20"/>
        </w:rPr>
        <w:t xml:space="preserve"> </w:t>
      </w:r>
      <w:r>
        <w:rPr>
          <w:rFonts w:cs="Verdana" w:ascii="Verdana" w:hAnsi="Verdana"/>
          <w:sz w:val="20"/>
          <w:szCs w:val="20"/>
        </w:rPr>
        <w:t>a</w:t>
      </w:r>
      <w:r>
        <w:rPr>
          <w:rFonts w:cs="Verdana" w:ascii="Verdana" w:hAnsi="Verdana"/>
          <w:spacing w:val="-8"/>
          <w:sz w:val="20"/>
          <w:szCs w:val="20"/>
        </w:rPr>
        <w:t xml:space="preserve"> </w:t>
      </w:r>
      <w:r>
        <w:rPr>
          <w:rFonts w:cs="Verdana" w:ascii="Verdana" w:hAnsi="Verdana"/>
          <w:sz w:val="20"/>
          <w:szCs w:val="20"/>
        </w:rPr>
        <w:t>contratação</w:t>
      </w:r>
      <w:r>
        <w:rPr>
          <w:rFonts w:cs="Verdana" w:ascii="Verdana" w:hAnsi="Verdana"/>
          <w:spacing w:val="-10"/>
          <w:sz w:val="20"/>
          <w:szCs w:val="20"/>
        </w:rPr>
        <w:t xml:space="preserve"> </w:t>
      </w:r>
      <w:r>
        <w:rPr>
          <w:rFonts w:cs="Verdana" w:ascii="Verdana" w:hAnsi="Verdana"/>
          <w:sz w:val="20"/>
          <w:szCs w:val="20"/>
        </w:rPr>
        <w:t>de</w:t>
      </w:r>
      <w:r>
        <w:rPr>
          <w:rFonts w:cs="Verdana" w:ascii="Verdana" w:hAnsi="Verdana"/>
          <w:spacing w:val="-11"/>
          <w:sz w:val="20"/>
          <w:szCs w:val="20"/>
        </w:rPr>
        <w:t xml:space="preserve"> </w:t>
      </w:r>
      <w:r>
        <w:rPr>
          <w:rFonts w:cs="Verdana" w:ascii="Verdana" w:hAnsi="Verdana"/>
          <w:sz w:val="20"/>
          <w:szCs w:val="20"/>
        </w:rPr>
        <w:t>serviço</w:t>
      </w:r>
      <w:r>
        <w:rPr>
          <w:rFonts w:cs="Verdana" w:ascii="Verdana" w:hAnsi="Verdana"/>
          <w:spacing w:val="-10"/>
          <w:sz w:val="20"/>
          <w:szCs w:val="20"/>
        </w:rPr>
        <w:t xml:space="preserve"> </w:t>
      </w:r>
      <w:r>
        <w:rPr>
          <w:rFonts w:cs="Verdana" w:ascii="Verdana" w:hAnsi="Verdana"/>
          <w:sz w:val="20"/>
          <w:szCs w:val="20"/>
        </w:rPr>
        <w:t>que inclua como encargo do contratado a elaboração do projeto básico e do projeto executivo, nas contratações integradas, e do projeto executivo, nos demais regimes de execução.</w:t>
      </w:r>
    </w:p>
    <w:p>
      <w:pPr>
        <w:pStyle w:val="ListParagraph"/>
        <w:tabs>
          <w:tab w:val="clear" w:pos="709"/>
          <w:tab w:val="left" w:pos="0" w:leader="none"/>
        </w:tabs>
        <w:spacing w:before="0" w:after="0"/>
        <w:ind w:left="0" w:right="0"/>
        <w:jc w:val="both"/>
        <w:rPr>
          <w:rFonts w:ascii="Verdana" w:hAnsi="Verdana" w:eastAsia="Batang;바탕" w:cs="Verdana"/>
          <w:b/>
          <w:sz w:val="20"/>
          <w:szCs w:val="20"/>
          <w:u w:val="single"/>
        </w:rPr>
      </w:pPr>
      <w:r>
        <w:rPr>
          <w:rFonts w:cs="Verdana" w:ascii="Verdana" w:hAnsi="Verdana"/>
          <w:sz w:val="20"/>
          <w:szCs w:val="20"/>
        </w:rPr>
        <w:t>6.7.10 Em</w:t>
      </w:r>
      <w:r>
        <w:rPr>
          <w:rFonts w:cs="Verdana" w:ascii="Verdana" w:hAnsi="Verdana"/>
          <w:spacing w:val="-10"/>
          <w:sz w:val="20"/>
          <w:szCs w:val="20"/>
        </w:rPr>
        <w:t xml:space="preserve"> </w:t>
      </w:r>
      <w:r>
        <w:rPr>
          <w:rFonts w:cs="Verdana" w:ascii="Verdana" w:hAnsi="Verdana"/>
          <w:sz w:val="20"/>
          <w:szCs w:val="20"/>
        </w:rPr>
        <w:t>licitações</w:t>
      </w:r>
      <w:r>
        <w:rPr>
          <w:rFonts w:cs="Verdana" w:ascii="Verdana" w:hAnsi="Verdana"/>
          <w:spacing w:val="-8"/>
          <w:sz w:val="20"/>
          <w:szCs w:val="20"/>
        </w:rPr>
        <w:t xml:space="preserve"> </w:t>
      </w:r>
      <w:r>
        <w:rPr>
          <w:rFonts w:cs="Verdana" w:ascii="Verdana" w:hAnsi="Verdana"/>
          <w:sz w:val="20"/>
          <w:szCs w:val="20"/>
        </w:rPr>
        <w:t>e</w:t>
      </w:r>
      <w:r>
        <w:rPr>
          <w:rFonts w:cs="Verdana" w:ascii="Verdana" w:hAnsi="Verdana"/>
          <w:spacing w:val="-12"/>
          <w:sz w:val="20"/>
          <w:szCs w:val="20"/>
        </w:rPr>
        <w:t xml:space="preserve"> </w:t>
      </w:r>
      <w:r>
        <w:rPr>
          <w:rFonts w:cs="Verdana" w:ascii="Verdana" w:hAnsi="Verdana"/>
          <w:sz w:val="20"/>
          <w:szCs w:val="20"/>
        </w:rPr>
        <w:t>contratações</w:t>
      </w:r>
      <w:r>
        <w:rPr>
          <w:rFonts w:cs="Verdana" w:ascii="Verdana" w:hAnsi="Verdana"/>
          <w:spacing w:val="-8"/>
          <w:sz w:val="20"/>
          <w:szCs w:val="20"/>
        </w:rPr>
        <w:t xml:space="preserve"> </w:t>
      </w:r>
      <w:r>
        <w:rPr>
          <w:rFonts w:cs="Verdana" w:ascii="Verdana" w:hAnsi="Verdana"/>
          <w:sz w:val="20"/>
          <w:szCs w:val="20"/>
        </w:rPr>
        <w:t>realizadas</w:t>
      </w:r>
      <w:r>
        <w:rPr>
          <w:rFonts w:cs="Verdana" w:ascii="Verdana" w:hAnsi="Verdana"/>
          <w:spacing w:val="-8"/>
          <w:sz w:val="20"/>
          <w:szCs w:val="20"/>
        </w:rPr>
        <w:t xml:space="preserve"> </w:t>
      </w:r>
      <w:r>
        <w:rPr>
          <w:rFonts w:cs="Verdana" w:ascii="Verdana" w:hAnsi="Verdana"/>
          <w:sz w:val="20"/>
          <w:szCs w:val="20"/>
        </w:rPr>
        <w:t>no</w:t>
      </w:r>
      <w:r>
        <w:rPr>
          <w:rFonts w:cs="Verdana" w:ascii="Verdana" w:hAnsi="Verdana"/>
          <w:spacing w:val="-11"/>
          <w:sz w:val="20"/>
          <w:szCs w:val="20"/>
        </w:rPr>
        <w:t xml:space="preserve"> </w:t>
      </w:r>
      <w:r>
        <w:rPr>
          <w:rFonts w:cs="Verdana" w:ascii="Verdana" w:hAnsi="Verdana"/>
          <w:sz w:val="20"/>
          <w:szCs w:val="20"/>
        </w:rPr>
        <w:t>âmbito</w:t>
      </w:r>
      <w:r>
        <w:rPr>
          <w:rFonts w:cs="Verdana" w:ascii="Verdana" w:hAnsi="Verdana"/>
          <w:spacing w:val="-10"/>
          <w:sz w:val="20"/>
          <w:szCs w:val="20"/>
        </w:rPr>
        <w:t xml:space="preserve"> </w:t>
      </w:r>
      <w:r>
        <w:rPr>
          <w:rFonts w:cs="Verdana" w:ascii="Verdana" w:hAnsi="Verdana"/>
          <w:sz w:val="20"/>
          <w:szCs w:val="20"/>
        </w:rPr>
        <w:t>de</w:t>
      </w:r>
      <w:r>
        <w:rPr>
          <w:rFonts w:cs="Verdana" w:ascii="Verdana" w:hAnsi="Verdana"/>
          <w:spacing w:val="-12"/>
          <w:sz w:val="20"/>
          <w:szCs w:val="20"/>
        </w:rPr>
        <w:t xml:space="preserve"> </w:t>
      </w:r>
      <w:r>
        <w:rPr>
          <w:rFonts w:cs="Verdana" w:ascii="Verdana" w:hAnsi="Verdana"/>
          <w:sz w:val="20"/>
          <w:szCs w:val="20"/>
        </w:rPr>
        <w:t>projetos</w:t>
      </w:r>
      <w:r>
        <w:rPr>
          <w:rFonts w:cs="Verdana" w:ascii="Verdana" w:hAnsi="Verdana"/>
          <w:spacing w:val="-10"/>
          <w:sz w:val="20"/>
          <w:szCs w:val="20"/>
        </w:rPr>
        <w:t xml:space="preserve"> </w:t>
      </w:r>
      <w:r>
        <w:rPr>
          <w:rFonts w:cs="Verdana" w:ascii="Verdana" w:hAnsi="Verdana"/>
          <w:sz w:val="20"/>
          <w:szCs w:val="20"/>
        </w:rPr>
        <w:t>e</w:t>
      </w:r>
      <w:r>
        <w:rPr>
          <w:rFonts w:cs="Verdana" w:ascii="Verdana" w:hAnsi="Verdana"/>
          <w:spacing w:val="-12"/>
          <w:sz w:val="20"/>
          <w:szCs w:val="20"/>
        </w:rPr>
        <w:t xml:space="preserve"> </w:t>
      </w:r>
      <w:r>
        <w:rPr>
          <w:rFonts w:cs="Verdana" w:ascii="Verdana" w:hAnsi="Verdana"/>
          <w:sz w:val="20"/>
          <w:szCs w:val="20"/>
        </w:rPr>
        <w:t>programas</w:t>
      </w:r>
      <w:r>
        <w:rPr>
          <w:rFonts w:cs="Verdana" w:ascii="Verdana" w:hAnsi="Verdana"/>
          <w:spacing w:val="-11"/>
          <w:sz w:val="20"/>
          <w:szCs w:val="20"/>
        </w:rPr>
        <w:t xml:space="preserve"> </w:t>
      </w:r>
      <w:r>
        <w:rPr>
          <w:rFonts w:cs="Verdana" w:ascii="Verdana" w:hAnsi="Verdana"/>
          <w:sz w:val="20"/>
          <w:szCs w:val="20"/>
        </w:rPr>
        <w:t>parcialmente financiados por agência oficial de cooperação estrangeira ou por organismo financeiro internacional com recursos do financiamento ou da contrapartida nacional, não poderá participar</w:t>
      </w:r>
      <w:r>
        <w:rPr>
          <w:rFonts w:cs="Verdana" w:ascii="Verdana" w:hAnsi="Verdana"/>
          <w:spacing w:val="-8"/>
          <w:sz w:val="20"/>
          <w:szCs w:val="20"/>
        </w:rPr>
        <w:t xml:space="preserve"> </w:t>
      </w:r>
      <w:r>
        <w:rPr>
          <w:rFonts w:cs="Verdana" w:ascii="Verdana" w:hAnsi="Verdana"/>
          <w:sz w:val="20"/>
          <w:szCs w:val="20"/>
        </w:rPr>
        <w:t>pessoa</w:t>
      </w:r>
      <w:r>
        <w:rPr>
          <w:rFonts w:cs="Verdana" w:ascii="Verdana" w:hAnsi="Verdana"/>
          <w:spacing w:val="-5"/>
          <w:sz w:val="20"/>
          <w:szCs w:val="20"/>
        </w:rPr>
        <w:t xml:space="preserve"> </w:t>
      </w:r>
      <w:r>
        <w:rPr>
          <w:rFonts w:cs="Verdana" w:ascii="Verdana" w:hAnsi="Verdana"/>
          <w:sz w:val="20"/>
          <w:szCs w:val="20"/>
        </w:rPr>
        <w:t>física</w:t>
      </w:r>
      <w:r>
        <w:rPr>
          <w:rFonts w:cs="Verdana" w:ascii="Verdana" w:hAnsi="Verdana"/>
          <w:spacing w:val="-9"/>
          <w:sz w:val="20"/>
          <w:szCs w:val="20"/>
        </w:rPr>
        <w:t xml:space="preserve"> </w:t>
      </w:r>
      <w:r>
        <w:rPr>
          <w:rFonts w:cs="Verdana" w:ascii="Verdana" w:hAnsi="Verdana"/>
          <w:sz w:val="20"/>
          <w:szCs w:val="20"/>
        </w:rPr>
        <w:t>ou</w:t>
      </w:r>
      <w:r>
        <w:rPr>
          <w:rFonts w:cs="Verdana" w:ascii="Verdana" w:hAnsi="Verdana"/>
          <w:spacing w:val="-7"/>
          <w:sz w:val="20"/>
          <w:szCs w:val="20"/>
        </w:rPr>
        <w:t xml:space="preserve"> </w:t>
      </w:r>
      <w:r>
        <w:rPr>
          <w:rFonts w:cs="Verdana" w:ascii="Verdana" w:hAnsi="Verdana"/>
          <w:sz w:val="20"/>
          <w:szCs w:val="20"/>
        </w:rPr>
        <w:t>jurídica</w:t>
      </w:r>
      <w:r>
        <w:rPr>
          <w:rFonts w:cs="Verdana" w:ascii="Verdana" w:hAnsi="Verdana"/>
          <w:spacing w:val="-8"/>
          <w:sz w:val="20"/>
          <w:szCs w:val="20"/>
        </w:rPr>
        <w:t xml:space="preserve"> </w:t>
      </w:r>
      <w:r>
        <w:rPr>
          <w:rFonts w:cs="Verdana" w:ascii="Verdana" w:hAnsi="Verdana"/>
          <w:sz w:val="20"/>
          <w:szCs w:val="20"/>
        </w:rPr>
        <w:t>que</w:t>
      </w:r>
      <w:r>
        <w:rPr>
          <w:rFonts w:cs="Verdana" w:ascii="Verdana" w:hAnsi="Verdana"/>
          <w:spacing w:val="-6"/>
          <w:sz w:val="20"/>
          <w:szCs w:val="20"/>
        </w:rPr>
        <w:t xml:space="preserve"> </w:t>
      </w:r>
      <w:r>
        <w:rPr>
          <w:rFonts w:cs="Verdana" w:ascii="Verdana" w:hAnsi="Verdana"/>
          <w:sz w:val="20"/>
          <w:szCs w:val="20"/>
        </w:rPr>
        <w:t>integre</w:t>
      </w:r>
      <w:r>
        <w:rPr>
          <w:rFonts w:cs="Verdana" w:ascii="Verdana" w:hAnsi="Verdana"/>
          <w:spacing w:val="-9"/>
          <w:sz w:val="20"/>
          <w:szCs w:val="20"/>
        </w:rPr>
        <w:t xml:space="preserve"> </w:t>
      </w:r>
      <w:r>
        <w:rPr>
          <w:rFonts w:cs="Verdana" w:ascii="Verdana" w:hAnsi="Verdana"/>
          <w:sz w:val="20"/>
          <w:szCs w:val="20"/>
        </w:rPr>
        <w:t>o</w:t>
      </w:r>
      <w:r>
        <w:rPr>
          <w:rFonts w:cs="Verdana" w:ascii="Verdana" w:hAnsi="Verdana"/>
          <w:spacing w:val="-5"/>
          <w:sz w:val="20"/>
          <w:szCs w:val="20"/>
        </w:rPr>
        <w:t xml:space="preserve"> </w:t>
      </w:r>
      <w:r>
        <w:rPr>
          <w:rFonts w:cs="Verdana" w:ascii="Verdana" w:hAnsi="Verdana"/>
          <w:sz w:val="20"/>
          <w:szCs w:val="20"/>
        </w:rPr>
        <w:t>rol</w:t>
      </w:r>
      <w:r>
        <w:rPr>
          <w:rFonts w:cs="Verdana" w:ascii="Verdana" w:hAnsi="Verdana"/>
          <w:spacing w:val="-7"/>
          <w:sz w:val="20"/>
          <w:szCs w:val="20"/>
        </w:rPr>
        <w:t xml:space="preserve"> </w:t>
      </w:r>
      <w:r>
        <w:rPr>
          <w:rFonts w:cs="Verdana" w:ascii="Verdana" w:hAnsi="Verdana"/>
          <w:sz w:val="20"/>
          <w:szCs w:val="20"/>
        </w:rPr>
        <w:t>de</w:t>
      </w:r>
      <w:r>
        <w:rPr>
          <w:rFonts w:cs="Verdana" w:ascii="Verdana" w:hAnsi="Verdana"/>
          <w:spacing w:val="-8"/>
          <w:sz w:val="20"/>
          <w:szCs w:val="20"/>
        </w:rPr>
        <w:t xml:space="preserve"> </w:t>
      </w:r>
      <w:r>
        <w:rPr>
          <w:rFonts w:cs="Verdana" w:ascii="Verdana" w:hAnsi="Verdana"/>
          <w:sz w:val="20"/>
          <w:szCs w:val="20"/>
        </w:rPr>
        <w:t>pessoas</w:t>
      </w:r>
      <w:r>
        <w:rPr>
          <w:rFonts w:cs="Verdana" w:ascii="Verdana" w:hAnsi="Verdana"/>
          <w:spacing w:val="-8"/>
          <w:sz w:val="20"/>
          <w:szCs w:val="20"/>
        </w:rPr>
        <w:t xml:space="preserve"> </w:t>
      </w:r>
      <w:r>
        <w:rPr>
          <w:rFonts w:cs="Verdana" w:ascii="Verdana" w:hAnsi="Verdana"/>
          <w:sz w:val="20"/>
          <w:szCs w:val="20"/>
        </w:rPr>
        <w:t>sancionadas</w:t>
      </w:r>
      <w:r>
        <w:rPr>
          <w:rFonts w:cs="Verdana" w:ascii="Verdana" w:hAnsi="Verdana"/>
          <w:spacing w:val="-7"/>
          <w:sz w:val="20"/>
          <w:szCs w:val="20"/>
        </w:rPr>
        <w:t xml:space="preserve"> </w:t>
      </w:r>
      <w:r>
        <w:rPr>
          <w:rFonts w:cs="Verdana" w:ascii="Verdana" w:hAnsi="Verdana"/>
          <w:sz w:val="20"/>
          <w:szCs w:val="20"/>
        </w:rPr>
        <w:t>por</w:t>
      </w:r>
      <w:r>
        <w:rPr>
          <w:rFonts w:cs="Verdana" w:ascii="Verdana" w:hAnsi="Verdana"/>
          <w:spacing w:val="-8"/>
          <w:sz w:val="20"/>
          <w:szCs w:val="20"/>
        </w:rPr>
        <w:t xml:space="preserve"> </w:t>
      </w:r>
      <w:r>
        <w:rPr>
          <w:rFonts w:cs="Verdana" w:ascii="Verdana" w:hAnsi="Verdana"/>
          <w:sz w:val="20"/>
          <w:szCs w:val="20"/>
        </w:rPr>
        <w:t>essas</w:t>
      </w:r>
      <w:r>
        <w:rPr>
          <w:rFonts w:cs="Verdana" w:ascii="Verdana" w:hAnsi="Verdana"/>
          <w:spacing w:val="-5"/>
          <w:sz w:val="20"/>
          <w:szCs w:val="20"/>
        </w:rPr>
        <w:t xml:space="preserve"> </w:t>
      </w:r>
      <w:r>
        <w:rPr>
          <w:rFonts w:cs="Verdana" w:ascii="Verdana" w:hAnsi="Verdana"/>
          <w:sz w:val="20"/>
          <w:szCs w:val="20"/>
        </w:rPr>
        <w:t>entidades ou que seja declarada inidônea nos termos da Lei nº 14.133/2021.</w:t>
      </w:r>
    </w:p>
    <w:p>
      <w:pPr>
        <w:pStyle w:val="ListParagraph"/>
        <w:tabs>
          <w:tab w:val="clear" w:pos="709"/>
          <w:tab w:val="left" w:pos="0" w:leader="none"/>
        </w:tabs>
        <w:ind w:left="0" w:right="170"/>
        <w:jc w:val="both"/>
        <w:rPr>
          <w:rFonts w:ascii="Verdana" w:hAnsi="Verdana" w:eastAsia="Batang;바탕" w:cs="Verdana"/>
          <w:b/>
          <w:sz w:val="20"/>
          <w:szCs w:val="20"/>
          <w:u w:val="single"/>
        </w:rPr>
      </w:pPr>
      <w:r>
        <w:rPr>
          <w:rFonts w:eastAsia="Batang;바탕" w:cs="Verdana" w:ascii="Verdana" w:hAnsi="Verdana"/>
          <w:b/>
          <w:sz w:val="20"/>
          <w:szCs w:val="20"/>
          <w:u w:val="single"/>
        </w:rPr>
        <w:t>6.7.11 A vedação de que trata o item 6.7.8 estende-se a terceiro que auxilie a condução da contratação na qualidade de integrante de equipe de apoio, profissional especializado ou funcionário ou representante de empresa que preste assessoria técnica.</w:t>
      </w:r>
    </w:p>
    <w:p>
      <w:pPr>
        <w:pStyle w:val="Normal"/>
        <w:spacing w:lineRule="auto" w:line="276"/>
        <w:jc w:val="center"/>
        <w:rPr>
          <w:rFonts w:ascii="Verdana" w:hAnsi="Verdana" w:eastAsia="Batang;바탕" w:cs="Verdana"/>
          <w:b/>
          <w:sz w:val="20"/>
          <w:szCs w:val="20"/>
        </w:rPr>
      </w:pPr>
      <w:r>
        <w:rPr>
          <w:rFonts w:eastAsia="Batang;바탕" w:cs="Verdana" w:ascii="Verdana" w:hAnsi="Verdana"/>
          <w:b/>
          <w:sz w:val="20"/>
          <w:szCs w:val="20"/>
          <w:u w:val="single"/>
        </w:rPr>
        <w:t>VII – CREDENCIAMENTO</w:t>
      </w:r>
    </w:p>
    <w:p>
      <w:pPr>
        <w:pStyle w:val="Normal"/>
        <w:tabs>
          <w:tab w:val="clear" w:pos="709"/>
          <w:tab w:val="left" w:pos="420" w:leader="none"/>
        </w:tabs>
        <w:spacing w:lineRule="auto" w:line="276"/>
        <w:jc w:val="both"/>
        <w:rPr>
          <w:rFonts w:ascii="Verdana" w:hAnsi="Verdana" w:cs="Verdana"/>
          <w:b/>
          <w:sz w:val="20"/>
          <w:szCs w:val="20"/>
        </w:rPr>
      </w:pPr>
      <w:r>
        <w:rPr>
          <w:rFonts w:eastAsia="Batang;바탕" w:cs="Verdana" w:ascii="Verdana" w:hAnsi="Verdana"/>
          <w:b/>
          <w:sz w:val="20"/>
          <w:szCs w:val="20"/>
        </w:rPr>
        <w:t>7.1 –</w:t>
      </w:r>
      <w:r>
        <w:rPr>
          <w:rFonts w:eastAsia="Batang;바탕" w:cs="Verdana" w:ascii="Verdana" w:hAnsi="Verdana"/>
          <w:sz w:val="20"/>
          <w:szCs w:val="20"/>
        </w:rPr>
        <w:t xml:space="preserve"> Para fins de credenciamento, o proponente poderá enviar um representante munido de credencial </w:t>
      </w:r>
      <w:r>
        <w:rPr>
          <w:rFonts w:eastAsia="Batang;바탕" w:cs="Verdana" w:ascii="Verdana" w:hAnsi="Verdana"/>
          <w:b/>
          <w:sz w:val="20"/>
          <w:szCs w:val="20"/>
        </w:rPr>
        <w:t>(ANEXO I),</w:t>
      </w:r>
      <w:r>
        <w:rPr>
          <w:rFonts w:eastAsia="Batang;바탕" w:cs="Verdana" w:ascii="Verdana" w:hAnsi="Verdana"/>
          <w:sz w:val="20"/>
          <w:szCs w:val="20"/>
        </w:rPr>
        <w:t xml:space="preserve"> </w:t>
      </w:r>
      <w:r>
        <w:rPr>
          <w:rFonts w:cs="Verdana" w:ascii="Verdana" w:hAnsi="Verdana"/>
          <w:sz w:val="20"/>
          <w:szCs w:val="20"/>
        </w:rPr>
        <w:t xml:space="preserve">firmada pelo responsável legal da empresa, devendo constar o número da identidade ou do CPF do credenciado e ainda em anexo </w:t>
      </w:r>
      <w:r>
        <w:rPr>
          <w:rFonts w:cs="Verdana" w:ascii="Verdana" w:hAnsi="Verdana"/>
          <w:b/>
          <w:sz w:val="20"/>
          <w:szCs w:val="20"/>
          <w:u w:val="single"/>
        </w:rPr>
        <w:t>o ato constitutivo da empresa e suas atualizações.</w:t>
      </w:r>
    </w:p>
    <w:p>
      <w:pPr>
        <w:pStyle w:val="Normal"/>
        <w:tabs>
          <w:tab w:val="clear" w:pos="709"/>
          <w:tab w:val="left" w:pos="420" w:leader="none"/>
        </w:tabs>
        <w:spacing w:lineRule="auto" w:line="276"/>
        <w:jc w:val="both"/>
        <w:rPr>
          <w:rFonts w:ascii="Verdana" w:hAnsi="Verdana" w:eastAsia="Batang;바탕" w:cs="Verdana"/>
          <w:b/>
          <w:sz w:val="20"/>
          <w:szCs w:val="20"/>
        </w:rPr>
      </w:pPr>
      <w:r>
        <w:rPr>
          <w:rFonts w:cs="Verdana" w:ascii="Verdana" w:hAnsi="Verdana"/>
          <w:b/>
          <w:sz w:val="20"/>
          <w:szCs w:val="20"/>
        </w:rPr>
        <w:t>7.1.1 –</w:t>
      </w:r>
      <w:r>
        <w:rPr>
          <w:rFonts w:cs="Verdana" w:ascii="Verdana" w:hAnsi="Verdana"/>
          <w:sz w:val="20"/>
          <w:szCs w:val="20"/>
        </w:rPr>
        <w:t xml:space="preserve"> </w:t>
      </w:r>
      <w:r>
        <w:rPr>
          <w:rFonts w:cs="Verdana" w:ascii="Verdana" w:hAnsi="Verdana"/>
          <w:b/>
          <w:sz w:val="20"/>
          <w:szCs w:val="20"/>
          <w:u w:val="single"/>
        </w:rPr>
        <w:t>A credencial deverá ser assinada por responsável legal da empresa.</w:t>
      </w:r>
    </w:p>
    <w:p>
      <w:pPr>
        <w:pStyle w:val="Normal"/>
        <w:tabs>
          <w:tab w:val="clear" w:pos="709"/>
          <w:tab w:val="left" w:pos="420" w:leader="none"/>
          <w:tab w:val="left" w:pos="6786" w:leader="none"/>
        </w:tabs>
        <w:spacing w:lineRule="auto" w:line="276"/>
        <w:jc w:val="both"/>
        <w:rPr>
          <w:rFonts w:ascii="Verdana" w:hAnsi="Verdana" w:eastAsia="Batang;바탕" w:cs="Verdana"/>
          <w:b/>
          <w:sz w:val="20"/>
          <w:szCs w:val="20"/>
        </w:rPr>
      </w:pPr>
      <w:r>
        <w:rPr>
          <w:rFonts w:eastAsia="Batang;바탕" w:cs="Verdana" w:ascii="Verdana" w:hAnsi="Verdana"/>
          <w:b/>
          <w:sz w:val="20"/>
          <w:szCs w:val="20"/>
        </w:rPr>
        <w:t xml:space="preserve">7.2 – </w:t>
      </w:r>
      <w:r>
        <w:rPr>
          <w:rFonts w:eastAsia="Batang;바탕" w:cs="Verdana" w:ascii="Verdana" w:hAnsi="Verdana"/>
          <w:sz w:val="20"/>
          <w:szCs w:val="20"/>
        </w:rPr>
        <w:t>A credencial da licitante deverá ser entregue diretamente ao Pregoeiro no início da sessão do Pregão, respeitando para a sua formulação o que se encontra estabelecido neste capítulo.</w:t>
      </w:r>
    </w:p>
    <w:p>
      <w:pPr>
        <w:pStyle w:val="Normal"/>
        <w:tabs>
          <w:tab w:val="clear" w:pos="709"/>
          <w:tab w:val="left" w:pos="420" w:leader="none"/>
        </w:tabs>
        <w:spacing w:lineRule="auto" w:line="276"/>
        <w:jc w:val="both"/>
        <w:rPr>
          <w:rFonts w:ascii="Verdana" w:hAnsi="Verdana" w:cs="Verdana"/>
          <w:b/>
          <w:sz w:val="20"/>
          <w:szCs w:val="20"/>
        </w:rPr>
      </w:pPr>
      <w:r>
        <w:rPr>
          <w:rFonts w:eastAsia="Batang;바탕" w:cs="Verdana" w:ascii="Verdana" w:hAnsi="Verdana"/>
          <w:b/>
          <w:sz w:val="20"/>
          <w:szCs w:val="20"/>
        </w:rPr>
        <w:t>7.3 –</w:t>
      </w:r>
      <w:r>
        <w:rPr>
          <w:rFonts w:eastAsia="Batang;바탕" w:cs="Verdana" w:ascii="Verdana" w:hAnsi="Verdana"/>
          <w:sz w:val="20"/>
          <w:szCs w:val="20"/>
        </w:rPr>
        <w:t xml:space="preserve"> No caso de administrador da empresa licitante, este deverá comprovar a sua condição mediante a apresentação de </w:t>
      </w:r>
      <w:r>
        <w:rPr>
          <w:rFonts w:cs="Verdana" w:ascii="Verdana" w:hAnsi="Verdana"/>
          <w:sz w:val="20"/>
          <w:szCs w:val="20"/>
        </w:rPr>
        <w:t>documento pessoal (identidade ou similar) bem como do ato constitutivo da empresa e suas atualizações.</w:t>
      </w:r>
    </w:p>
    <w:p>
      <w:pPr>
        <w:pStyle w:val="Normal"/>
        <w:tabs>
          <w:tab w:val="clear" w:pos="709"/>
          <w:tab w:val="left" w:pos="420" w:leader="none"/>
        </w:tabs>
        <w:spacing w:lineRule="auto" w:line="276"/>
        <w:jc w:val="both"/>
        <w:rPr>
          <w:rFonts w:ascii="Verdana" w:hAnsi="Verdana" w:cs="Verdana"/>
          <w:b/>
          <w:sz w:val="20"/>
          <w:szCs w:val="20"/>
        </w:rPr>
      </w:pPr>
      <w:r>
        <w:rPr>
          <w:rFonts w:cs="Verdana" w:ascii="Verdana" w:hAnsi="Verdana"/>
          <w:b/>
          <w:sz w:val="20"/>
          <w:szCs w:val="20"/>
        </w:rPr>
        <w:t>7.4</w:t>
      </w:r>
      <w:r>
        <w:rPr>
          <w:rFonts w:cs="Verdana" w:ascii="Verdana" w:hAnsi="Verdana"/>
          <w:sz w:val="20"/>
          <w:szCs w:val="20"/>
        </w:rPr>
        <w:t xml:space="preserve"> </w:t>
      </w:r>
      <w:r>
        <w:rPr>
          <w:rFonts w:cs="Verdana" w:ascii="Verdana" w:hAnsi="Verdana"/>
          <w:b/>
          <w:sz w:val="20"/>
          <w:szCs w:val="20"/>
        </w:rPr>
        <w:t>–</w:t>
      </w:r>
      <w:r>
        <w:rPr>
          <w:rFonts w:cs="Verdana" w:ascii="Verdana" w:hAnsi="Verdana"/>
          <w:sz w:val="20"/>
          <w:szCs w:val="20"/>
        </w:rPr>
        <w:t xml:space="preserve"> Será também considerado representante legal da empresa aquele que se apresentar no ato do credenciamento munido de procuração, com reconhecimento de firma em cartório, </w:t>
      </w:r>
      <w:r>
        <w:rPr>
          <w:rFonts w:cs="Verdana" w:ascii="Verdana" w:hAnsi="Verdana"/>
          <w:b/>
          <w:i/>
          <w:sz w:val="20"/>
          <w:szCs w:val="20"/>
          <w:u w:val="single"/>
        </w:rPr>
        <w:t xml:space="preserve">ou na forma da Lei Federal 13.726/2018, </w:t>
      </w:r>
      <w:r>
        <w:rPr>
          <w:rFonts w:cs="Verdana" w:ascii="Verdana" w:hAnsi="Verdana"/>
          <w:sz w:val="20"/>
          <w:szCs w:val="20"/>
        </w:rPr>
        <w:t>bem como do ato constitutivo da empresa e suas atualizações.</w:t>
      </w:r>
    </w:p>
    <w:p>
      <w:pPr>
        <w:pStyle w:val="Normal"/>
        <w:tabs>
          <w:tab w:val="clear" w:pos="709"/>
          <w:tab w:val="left" w:pos="420" w:leader="none"/>
        </w:tabs>
        <w:spacing w:lineRule="auto" w:line="276"/>
        <w:jc w:val="both"/>
        <w:rPr>
          <w:rFonts w:ascii="Verdana" w:hAnsi="Verdana" w:cs="Verdana"/>
          <w:b/>
          <w:sz w:val="20"/>
          <w:szCs w:val="20"/>
        </w:rPr>
      </w:pPr>
      <w:r>
        <w:rPr>
          <w:rFonts w:cs="Verdana" w:ascii="Verdana" w:hAnsi="Verdana"/>
          <w:b/>
          <w:sz w:val="20"/>
          <w:szCs w:val="20"/>
        </w:rPr>
        <w:t>7.5 –</w:t>
      </w:r>
      <w:r>
        <w:rPr>
          <w:rFonts w:cs="Verdana" w:ascii="Verdana" w:hAnsi="Verdana"/>
          <w:sz w:val="20"/>
          <w:szCs w:val="20"/>
        </w:rPr>
        <w:t xml:space="preserve"> A apresentação do ato constitutivo ou instrumento equivalente, nesta etapa da licitação, dispensa a empresa de apresentá-lo no envelope documentação.</w:t>
      </w:r>
    </w:p>
    <w:p>
      <w:pPr>
        <w:pStyle w:val="Normal"/>
        <w:tabs>
          <w:tab w:val="clear" w:pos="709"/>
          <w:tab w:val="left" w:pos="420" w:leader="none"/>
        </w:tabs>
        <w:spacing w:lineRule="auto" w:line="276"/>
        <w:jc w:val="both"/>
        <w:rPr>
          <w:rFonts w:ascii="Verdana" w:hAnsi="Verdana" w:cs="Verdana"/>
          <w:b/>
          <w:sz w:val="20"/>
          <w:szCs w:val="20"/>
        </w:rPr>
      </w:pPr>
      <w:r>
        <w:rPr>
          <w:rFonts w:cs="Verdana" w:ascii="Verdana" w:hAnsi="Verdana"/>
          <w:b/>
          <w:sz w:val="20"/>
          <w:szCs w:val="20"/>
        </w:rPr>
        <w:t>7.6 –</w:t>
      </w:r>
      <w:r>
        <w:rPr>
          <w:rFonts w:cs="Verdana" w:ascii="Verdana" w:hAnsi="Verdana"/>
          <w:sz w:val="20"/>
          <w:szCs w:val="20"/>
        </w:rPr>
        <w:t xml:space="preserve"> Somente poderão oferecer lances no ato do pregão aqueles que atenderem às condições contidas neste capítulo.</w:t>
      </w:r>
    </w:p>
    <w:p>
      <w:pPr>
        <w:pStyle w:val="Normal"/>
        <w:tabs>
          <w:tab w:val="clear" w:pos="709"/>
          <w:tab w:val="left" w:pos="420" w:leader="none"/>
        </w:tabs>
        <w:spacing w:lineRule="auto" w:line="276"/>
        <w:jc w:val="both"/>
        <w:rPr>
          <w:rFonts w:ascii="Verdana" w:hAnsi="Verdana" w:cs="Verdana"/>
          <w:b/>
          <w:sz w:val="20"/>
          <w:szCs w:val="20"/>
        </w:rPr>
      </w:pPr>
      <w:r>
        <w:rPr>
          <w:rFonts w:cs="Verdana" w:ascii="Verdana" w:hAnsi="Verdana"/>
          <w:b/>
          <w:sz w:val="20"/>
          <w:szCs w:val="20"/>
          <w:highlight w:val="yellow"/>
        </w:rPr>
        <w:t xml:space="preserve">7.7 – Para fazer jus aos benefícios da Lei Federal Complementar 123/2006 consolidada, </w:t>
      </w:r>
      <w:r>
        <w:rPr>
          <w:rFonts w:cs="Verdana" w:ascii="Verdana" w:hAnsi="Verdana"/>
          <w:b/>
          <w:sz w:val="20"/>
          <w:szCs w:val="20"/>
          <w:highlight w:val="yellow"/>
          <w:u w:val="single"/>
        </w:rPr>
        <w:t>a licitante enquadrada como microempresa ou empresa de pequeno porte</w:t>
      </w:r>
      <w:r>
        <w:rPr>
          <w:rFonts w:cs="Verdana" w:ascii="Verdana" w:hAnsi="Verdana"/>
          <w:b/>
          <w:sz w:val="20"/>
          <w:szCs w:val="20"/>
          <w:highlight w:val="yellow"/>
        </w:rPr>
        <w:t xml:space="preserve"> deverá apresentar a </w:t>
      </w:r>
      <w:r>
        <w:rPr>
          <w:rFonts w:cs="Verdana" w:ascii="Verdana" w:hAnsi="Verdana"/>
          <w:b/>
          <w:bCs/>
          <w:sz w:val="20"/>
          <w:szCs w:val="20"/>
          <w:highlight w:val="yellow"/>
          <w:u w:val="single"/>
        </w:rPr>
        <w:t>CERTIDÃO EXPEDIDA PELA JUNTA COMERCIAL DA REGIÃO SEDE DA EMPRESA</w:t>
      </w:r>
      <w:r>
        <w:rPr>
          <w:rFonts w:cs="Verdana" w:ascii="Verdana" w:hAnsi="Verdana"/>
          <w:sz w:val="20"/>
          <w:szCs w:val="20"/>
          <w:highlight w:val="yellow"/>
        </w:rPr>
        <w:t xml:space="preserve">, demonstrando a situação de enquadramento como microempresa ou empresa de pequeno porte. Exigência baseada no Art. 8º da Instrução Normativa 103/2007 do Departamento Nacional do Comércio, esta que deverá ter sido </w:t>
      </w:r>
      <w:r>
        <w:rPr>
          <w:rFonts w:cs="Verdana" w:ascii="Verdana" w:hAnsi="Verdana"/>
          <w:b/>
          <w:bCs/>
          <w:sz w:val="20"/>
          <w:szCs w:val="20"/>
          <w:highlight w:val="yellow"/>
        </w:rPr>
        <w:t>emitida a partir do ano de 2025</w:t>
      </w:r>
      <w:r>
        <w:rPr>
          <w:rFonts w:cs="Verdana" w:ascii="Verdana" w:hAnsi="Verdana"/>
          <w:b/>
          <w:sz w:val="20"/>
          <w:szCs w:val="20"/>
          <w:highlight w:val="yellow"/>
        </w:rPr>
        <w:t xml:space="preserve">, </w:t>
      </w:r>
      <w:r>
        <w:rPr>
          <w:rFonts w:cs="Verdana" w:ascii="Verdana" w:hAnsi="Verdana"/>
          <w:sz w:val="20"/>
          <w:szCs w:val="20"/>
          <w:highlight w:val="yellow"/>
        </w:rPr>
        <w:t xml:space="preserve">sob pena de perda do direito de gozar dos benefícios </w:t>
      </w:r>
      <w:r>
        <w:rPr>
          <w:rFonts w:cs="Verdana" w:ascii="Verdana" w:hAnsi="Verdana"/>
          <w:b/>
          <w:sz w:val="20"/>
          <w:szCs w:val="20"/>
          <w:highlight w:val="yellow"/>
        </w:rPr>
        <w:t>da Lei Federal Complementar 147/2014.</w:t>
      </w:r>
    </w:p>
    <w:p>
      <w:pPr>
        <w:pStyle w:val="Normal"/>
        <w:tabs>
          <w:tab w:val="clear" w:pos="709"/>
          <w:tab w:val="left" w:pos="420" w:leader="none"/>
        </w:tabs>
        <w:spacing w:lineRule="auto" w:line="276"/>
        <w:jc w:val="both"/>
        <w:rPr>
          <w:rFonts w:ascii="Verdana" w:hAnsi="Verdana" w:cs="Verdana"/>
          <w:b/>
          <w:sz w:val="20"/>
          <w:szCs w:val="20"/>
        </w:rPr>
      </w:pPr>
      <w:r>
        <w:rPr>
          <w:rFonts w:cs="Verdana" w:ascii="Verdana" w:hAnsi="Verdana"/>
          <w:b/>
          <w:sz w:val="20"/>
          <w:szCs w:val="20"/>
        </w:rPr>
        <w:t xml:space="preserve">7.7.2 – </w:t>
      </w:r>
      <w:r>
        <w:rPr>
          <w:rFonts w:cs="Verdana" w:ascii="Verdana" w:hAnsi="Verdana"/>
          <w:sz w:val="20"/>
          <w:szCs w:val="20"/>
        </w:rPr>
        <w:t xml:space="preserve">As empresas que se declararem microempresas ou empresas de pequeno porte, porém sua receita bruta do ano-calendário de </w:t>
      </w:r>
      <w:r>
        <w:rPr>
          <w:rFonts w:cs="Verdana" w:ascii="Verdana" w:hAnsi="Verdana"/>
          <w:b/>
          <w:sz w:val="20"/>
          <w:szCs w:val="20"/>
        </w:rPr>
        <w:t xml:space="preserve">2023, </w:t>
      </w:r>
      <w:r>
        <w:rPr>
          <w:rFonts w:cs="Verdana" w:ascii="Verdana" w:hAnsi="Verdana"/>
          <w:sz w:val="20"/>
          <w:szCs w:val="20"/>
        </w:rPr>
        <w:t>no caso de Microempresa tenha sido superior ou igual a R$ 360.000,00 (trezentos e sessenta mil reais), e no caso de Empresa de Pequeno Porte tenha sido superior à R$ 4.800.000,00 (Quatro milhões e oitocentos mil reais), estarão sujeitas as sanções previstas em lei.</w:t>
      </w:r>
    </w:p>
    <w:p>
      <w:pPr>
        <w:pStyle w:val="Normal"/>
        <w:tabs>
          <w:tab w:val="clear" w:pos="709"/>
          <w:tab w:val="left" w:pos="420" w:leader="none"/>
        </w:tabs>
        <w:spacing w:lineRule="auto" w:line="276"/>
        <w:jc w:val="both"/>
        <w:rPr>
          <w:rFonts w:ascii="Verdana" w:hAnsi="Verdana" w:eastAsia="Batang;바탕" w:cs="Verdana"/>
          <w:b/>
          <w:sz w:val="20"/>
          <w:szCs w:val="20"/>
          <w:u w:val="single"/>
        </w:rPr>
      </w:pPr>
      <w:r>
        <w:rPr>
          <w:rFonts w:cs="Verdana" w:ascii="Verdana" w:hAnsi="Verdana"/>
          <w:b/>
          <w:sz w:val="20"/>
          <w:szCs w:val="20"/>
        </w:rPr>
        <w:t xml:space="preserve">a) </w:t>
      </w:r>
      <w:r>
        <w:rPr>
          <w:rFonts w:cs="Verdana" w:ascii="Verdana" w:hAnsi="Verdana"/>
          <w:sz w:val="20"/>
          <w:szCs w:val="20"/>
        </w:rPr>
        <w:t xml:space="preserve">Informamos que para fins de comprovação da condição de microempresas e empresas de pequeno porte, será utilizada como parâmetro a Receita bruta do </w:t>
      </w:r>
      <w:r>
        <w:rPr>
          <w:rFonts w:cs="Verdana" w:ascii="Verdana" w:hAnsi="Verdana"/>
          <w:b/>
          <w:sz w:val="20"/>
          <w:szCs w:val="20"/>
        </w:rPr>
        <w:t>ano-calendário de 2023</w:t>
      </w:r>
      <w:r>
        <w:rPr>
          <w:rFonts w:cs="Verdana" w:ascii="Verdana" w:hAnsi="Verdana"/>
          <w:sz w:val="20"/>
          <w:szCs w:val="20"/>
        </w:rPr>
        <w:t>, seguindo o estabelecido no Art. 1.078 do Código Civil Brasileiro, este que prevê um prazo de até 04 (quatro) meses para apresentação do Balanço Patrimonial ao fim do exercício;</w:t>
      </w:r>
    </w:p>
    <w:p>
      <w:pPr>
        <w:pStyle w:val="Normal"/>
        <w:tabs>
          <w:tab w:val="clear" w:pos="709"/>
          <w:tab w:val="left" w:pos="420" w:leader="none"/>
        </w:tabs>
        <w:spacing w:lineRule="auto" w:line="276"/>
        <w:jc w:val="both"/>
        <w:rPr>
          <w:rFonts w:ascii="Verdana" w:hAnsi="Verdana" w:eastAsia="Batang;바탕" w:cs="Verdana"/>
          <w:b/>
          <w:sz w:val="20"/>
          <w:szCs w:val="20"/>
          <w:u w:val="single"/>
        </w:rPr>
      </w:pPr>
      <w:r>
        <w:rPr>
          <w:rFonts w:eastAsia="Batang;바탕" w:cs="Verdana" w:ascii="Verdana" w:hAnsi="Verdana"/>
          <w:b/>
          <w:sz w:val="20"/>
          <w:szCs w:val="20"/>
          <w:u w:val="single"/>
        </w:rPr>
        <w:t>7.7.3 – A qualquer momento poderão ser promovidas diligências a fim de comprovação da condição de microempresa ou empresa de pequeno porte declarada pela participante.</w:t>
      </w:r>
    </w:p>
    <w:p>
      <w:pPr>
        <w:pStyle w:val="Normal"/>
        <w:tabs>
          <w:tab w:val="clear" w:pos="709"/>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center"/>
        <w:rPr>
          <w:rFonts w:ascii="Verdana" w:hAnsi="Verdana" w:eastAsia="Batang;바탕" w:cs="Verdana"/>
          <w:b/>
          <w:sz w:val="20"/>
          <w:szCs w:val="20"/>
          <w:u w:val="single"/>
        </w:rPr>
      </w:pPr>
      <w:r>
        <w:rPr>
          <w:rFonts w:eastAsia="Batang;바탕" w:cs="Verdana" w:ascii="Verdana" w:hAnsi="Verdana"/>
          <w:b/>
          <w:sz w:val="20"/>
          <w:szCs w:val="20"/>
          <w:u w:val="single"/>
        </w:rPr>
      </w:r>
    </w:p>
    <w:p>
      <w:pPr>
        <w:pStyle w:val="Normal"/>
        <w:tabs>
          <w:tab w:val="clear" w:pos="709"/>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center"/>
        <w:rPr>
          <w:rFonts w:ascii="Verdana" w:hAnsi="Verdana" w:eastAsia="Batang;바탕" w:cs="Verdana"/>
          <w:b/>
          <w:sz w:val="20"/>
          <w:szCs w:val="20"/>
          <w:u w:val="single"/>
        </w:rPr>
      </w:pPr>
      <w:r>
        <w:rPr>
          <w:rFonts w:eastAsia="Batang;바탕" w:cs="Verdana" w:ascii="Verdana" w:hAnsi="Verdana"/>
          <w:b/>
          <w:sz w:val="20"/>
          <w:szCs w:val="20"/>
          <w:u w:val="single"/>
        </w:rPr>
      </w:r>
    </w:p>
    <w:p>
      <w:pPr>
        <w:pStyle w:val="Normal"/>
        <w:tabs>
          <w:tab w:val="clear" w:pos="709"/>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center"/>
        <w:rPr>
          <w:rFonts w:ascii="Verdana" w:hAnsi="Verdana" w:eastAsia="Batang;바탕" w:cs="Verdana"/>
          <w:b/>
          <w:sz w:val="20"/>
          <w:szCs w:val="20"/>
        </w:rPr>
      </w:pPr>
      <w:r>
        <w:rPr>
          <w:rFonts w:eastAsia="Batang;바탕" w:cs="Verdana" w:ascii="Verdana" w:hAnsi="Verdana"/>
          <w:b/>
          <w:sz w:val="20"/>
          <w:szCs w:val="20"/>
          <w:u w:val="single"/>
        </w:rPr>
        <w:t>VIII – DA DECLARAÇÃO PARA ATENDIMENTO DAS EXIGÊNCIAS HABILITATÓRIAS</w:t>
      </w:r>
    </w:p>
    <w:p>
      <w:pPr>
        <w:pStyle w:val="Normal"/>
        <w:tabs>
          <w:tab w:val="clear" w:pos="709"/>
          <w:tab w:val="left" w:pos="-414" w:leader="none"/>
          <w:tab w:val="left" w:pos="0" w:leader="none"/>
          <w:tab w:val="left" w:pos="306" w:leader="none"/>
          <w:tab w:val="left" w:pos="1026" w:leader="none"/>
          <w:tab w:val="left" w:pos="1926"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b/>
          <w:sz w:val="20"/>
          <w:szCs w:val="20"/>
        </w:rPr>
      </w:pPr>
      <w:r>
        <w:rPr>
          <w:rFonts w:eastAsia="Batang;바탕" w:cs="Verdana" w:ascii="Verdana" w:hAnsi="Verdana"/>
          <w:b/>
          <w:sz w:val="20"/>
          <w:szCs w:val="20"/>
        </w:rPr>
        <w:t>8.1 –</w:t>
      </w:r>
      <w:r>
        <w:rPr>
          <w:rFonts w:eastAsia="Batang;바탕" w:cs="Verdana" w:ascii="Verdana" w:hAnsi="Verdana"/>
          <w:sz w:val="20"/>
          <w:szCs w:val="20"/>
        </w:rPr>
        <w:t xml:space="preserve"> Os envelopes propostas de preços serão abertos no horário estipulado no item 4.3 do presente edital, sendo que nessa oportunidade os licitantes deverão apresentar separadamente a declaração dando ciência de que cumprem plenamente os requisitos de habilitação </w:t>
      </w:r>
      <w:r>
        <w:rPr>
          <w:rFonts w:eastAsia="Batang;바탕" w:cs="Verdana" w:ascii="Verdana" w:hAnsi="Verdana"/>
          <w:b/>
          <w:sz w:val="20"/>
          <w:szCs w:val="20"/>
        </w:rPr>
        <w:t>(ANEXO II)</w:t>
      </w:r>
      <w:r>
        <w:rPr>
          <w:rFonts w:eastAsia="Batang;바탕" w:cs="Verdana" w:ascii="Verdana" w:hAnsi="Verdana"/>
          <w:sz w:val="20"/>
          <w:szCs w:val="20"/>
        </w:rPr>
        <w:t xml:space="preserve">, em cumprimento ao disposto no art. 4º, VII da Lei nº 10.520/02 </w:t>
      </w:r>
      <w:r>
        <w:rPr>
          <w:rFonts w:cs="Verdana" w:ascii="Verdana" w:hAnsi="Verdana"/>
          <w:sz w:val="20"/>
          <w:szCs w:val="20"/>
        </w:rPr>
        <w:t>e ainda em anexo o ato constitutivo da empresa e suas atualizações</w:t>
      </w:r>
      <w:r>
        <w:rPr>
          <w:rFonts w:eastAsia="Batang;바탕" w:cs="Verdana" w:ascii="Verdana" w:hAnsi="Verdana"/>
          <w:sz w:val="20"/>
          <w:szCs w:val="20"/>
        </w:rPr>
        <w:t>.</w:t>
      </w:r>
    </w:p>
    <w:p>
      <w:pPr>
        <w:pStyle w:val="Normal"/>
        <w:tabs>
          <w:tab w:val="clear" w:pos="709"/>
          <w:tab w:val="left" w:pos="-414" w:leader="none"/>
          <w:tab w:val="left" w:pos="0" w:leader="none"/>
          <w:tab w:val="left" w:pos="306" w:leader="none"/>
          <w:tab w:val="left" w:pos="1026" w:leader="none"/>
          <w:tab w:val="left" w:pos="1926"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b/>
          <w:sz w:val="20"/>
          <w:szCs w:val="20"/>
          <w:u w:val="single"/>
        </w:rPr>
      </w:pPr>
      <w:r>
        <w:rPr>
          <w:rFonts w:eastAsia="Batang;바탕" w:cs="Verdana" w:ascii="Verdana" w:hAnsi="Verdana"/>
          <w:b/>
          <w:sz w:val="20"/>
          <w:szCs w:val="20"/>
        </w:rPr>
        <w:t>8.2</w:t>
      </w:r>
      <w:r>
        <w:rPr>
          <w:rFonts w:eastAsia="Batang;바탕" w:cs="Verdana" w:ascii="Verdana" w:hAnsi="Verdana"/>
          <w:sz w:val="20"/>
          <w:szCs w:val="20"/>
        </w:rPr>
        <w:t xml:space="preserve"> </w:t>
      </w:r>
      <w:r>
        <w:rPr>
          <w:rFonts w:eastAsia="Batang;바탕" w:cs="Verdana" w:ascii="Verdana" w:hAnsi="Verdana"/>
          <w:b/>
          <w:sz w:val="20"/>
          <w:szCs w:val="20"/>
        </w:rPr>
        <w:t>–</w:t>
      </w:r>
      <w:r>
        <w:rPr>
          <w:rFonts w:eastAsia="Batang;바탕" w:cs="Verdana" w:ascii="Verdana" w:hAnsi="Verdana"/>
          <w:sz w:val="20"/>
          <w:szCs w:val="20"/>
        </w:rPr>
        <w:t xml:space="preserve"> Caso o licitante não se faça presente deverá remeter a declaração de que trata o item anterior tendo como anexo o ato constitutivo da empresa e suas atualizações, ambos em envelope apartado que deverá trazer os seguintes dizeres: “Prefeitura Municipal de São Gabriel da Palha – </w:t>
      </w:r>
      <w:r>
        <w:rPr>
          <w:rFonts w:eastAsia="Batang;바탕" w:cs="Verdana" w:ascii="Verdana" w:hAnsi="Verdana"/>
          <w:b/>
          <w:bCs/>
          <w:sz w:val="20"/>
          <w:szCs w:val="20"/>
        </w:rPr>
        <w:t>Pregão nº 01/2025</w:t>
      </w:r>
      <w:r>
        <w:rPr>
          <w:rFonts w:eastAsia="Batang;바탕" w:cs="Verdana" w:ascii="Verdana" w:hAnsi="Verdana"/>
          <w:sz w:val="20"/>
          <w:szCs w:val="20"/>
        </w:rPr>
        <w:t xml:space="preserve"> – Envelope DECLARAÇÃO”.</w:t>
      </w:r>
    </w:p>
    <w:p>
      <w:pPr>
        <w:pStyle w:val="Normal"/>
        <w:tabs>
          <w:tab w:val="clear" w:pos="709"/>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center"/>
        <w:rPr>
          <w:rFonts w:ascii="Verdana" w:hAnsi="Verdana" w:eastAsia="Batang;바탕" w:cs="Verdana"/>
          <w:b/>
          <w:sz w:val="20"/>
          <w:szCs w:val="20"/>
          <w:u w:val="single"/>
        </w:rPr>
      </w:pPr>
      <w:r>
        <w:rPr>
          <w:rFonts w:eastAsia="Batang;바탕" w:cs="Verdana" w:ascii="Verdana" w:hAnsi="Verdana"/>
          <w:b/>
          <w:sz w:val="20"/>
          <w:szCs w:val="20"/>
          <w:u w:val="single"/>
        </w:rPr>
      </w:r>
    </w:p>
    <w:p>
      <w:pPr>
        <w:pStyle w:val="Normal"/>
        <w:tabs>
          <w:tab w:val="clear" w:pos="709"/>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center"/>
        <w:rPr>
          <w:rFonts w:ascii="Verdana" w:hAnsi="Verdana" w:cs="Verdana"/>
          <w:b/>
          <w:sz w:val="20"/>
          <w:szCs w:val="20"/>
        </w:rPr>
      </w:pPr>
      <w:r>
        <w:rPr>
          <w:rFonts w:eastAsia="Batang;바탕" w:cs="Verdana" w:ascii="Verdana" w:hAnsi="Verdana"/>
          <w:b/>
          <w:sz w:val="20"/>
          <w:szCs w:val="20"/>
          <w:u w:val="single"/>
        </w:rPr>
        <w:t>IX – DA PROPOSTA</w:t>
      </w:r>
    </w:p>
    <w:p>
      <w:pPr>
        <w:pStyle w:val="Normal"/>
        <w:overflowPunct w:val="false"/>
        <w:autoSpaceDE w:val="false"/>
        <w:spacing w:lineRule="auto" w:line="276"/>
        <w:jc w:val="both"/>
        <w:textAlignment w:val="baseline"/>
        <w:rPr>
          <w:rFonts w:ascii="Verdana" w:hAnsi="Verdana" w:eastAsia="Batang;바탕" w:cs="Verdana"/>
          <w:sz w:val="20"/>
          <w:szCs w:val="20"/>
        </w:rPr>
      </w:pPr>
      <w:r>
        <w:rPr>
          <w:rFonts w:cs="Verdana" w:ascii="Verdana" w:hAnsi="Verdana"/>
          <w:b/>
          <w:sz w:val="20"/>
          <w:szCs w:val="20"/>
        </w:rPr>
        <w:t>9.1 –</w:t>
      </w:r>
      <w:r>
        <w:rPr>
          <w:rFonts w:cs="Verdana" w:ascii="Verdana" w:hAnsi="Verdana"/>
          <w:sz w:val="20"/>
          <w:szCs w:val="20"/>
        </w:rPr>
        <w:t xml:space="preserve"> O envelope nº 01</w:t>
      </w:r>
      <w:r>
        <w:rPr>
          <w:rFonts w:cs="Verdana" w:ascii="Verdana" w:hAnsi="Verdana"/>
          <w:b/>
          <w:sz w:val="20"/>
          <w:szCs w:val="20"/>
        </w:rPr>
        <w:t>, “PROPOSTA”</w:t>
      </w:r>
      <w:r>
        <w:rPr>
          <w:rFonts w:cs="Verdana" w:ascii="Verdana" w:hAnsi="Verdana"/>
          <w:sz w:val="20"/>
          <w:szCs w:val="20"/>
        </w:rPr>
        <w:t xml:space="preserve">, deverá conter a proposta em qualquer forma de impressão, assinada pelo representante legal da empresa, </w:t>
      </w:r>
      <w:r>
        <w:rPr>
          <w:rFonts w:eastAsia="Batang;바탕" w:cs="Verdana" w:ascii="Verdana" w:hAnsi="Verdana"/>
          <w:sz w:val="20"/>
          <w:szCs w:val="20"/>
        </w:rPr>
        <w:t>não podendo ser de forma manuscrita,</w:t>
      </w:r>
      <w:r>
        <w:rPr>
          <w:rFonts w:cs="Verdana" w:ascii="Verdana" w:hAnsi="Verdana"/>
          <w:sz w:val="20"/>
          <w:szCs w:val="20"/>
        </w:rPr>
        <w:t xml:space="preserve"> formulada sem emendas, rasuras, acréscimos ou entrelinhas, em linguagem clara, objetiva e que não dificulte a exata compreensão do seu enunciado, contendo:</w:t>
      </w:r>
    </w:p>
    <w:p>
      <w:pPr>
        <w:pStyle w:val="Normal"/>
        <w:widowControl w:val="false"/>
        <w:numPr>
          <w:ilvl w:val="0"/>
          <w:numId w:val="2"/>
        </w:numPr>
        <w:tabs>
          <w:tab w:val="clear" w:pos="709"/>
          <w:tab w:val="left" w:pos="-1440" w:leader="none"/>
          <w:tab w:val="left" w:pos="-28" w:leader="none"/>
          <w:tab w:val="left" w:pos="33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both"/>
        <w:rPr>
          <w:rFonts w:ascii="Verdana" w:hAnsi="Verdana" w:eastAsia="Batang;바탕" w:cs="Verdana"/>
          <w:sz w:val="20"/>
          <w:szCs w:val="20"/>
        </w:rPr>
      </w:pPr>
      <w:r>
        <w:rPr>
          <w:rFonts w:eastAsia="Batang;바탕" w:cs="Verdana" w:ascii="Verdana" w:hAnsi="Verdana"/>
          <w:sz w:val="20"/>
          <w:szCs w:val="20"/>
        </w:rPr>
        <w:t>Razão social da empresa bem como sua qualificação, tal como endereço, o número do CNPJ e outras que se fizerem necessárias;</w:t>
      </w:r>
    </w:p>
    <w:p>
      <w:pPr>
        <w:pStyle w:val="Normal"/>
        <w:widowControl w:val="false"/>
        <w:numPr>
          <w:ilvl w:val="0"/>
          <w:numId w:val="2"/>
        </w:numPr>
        <w:tabs>
          <w:tab w:val="clear" w:pos="709"/>
          <w:tab w:val="left" w:pos="-414" w:leader="none"/>
          <w:tab w:val="left" w:pos="-28" w:leader="none"/>
          <w:tab w:val="left" w:pos="306" w:leader="none"/>
          <w:tab w:val="left" w:pos="336" w:leader="none"/>
          <w:tab w:val="left" w:pos="2466" w:leader="none"/>
          <w:tab w:val="left" w:pos="2552"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cs="Verdana"/>
          <w:sz w:val="20"/>
          <w:szCs w:val="20"/>
        </w:rPr>
      </w:pPr>
      <w:r>
        <w:rPr>
          <w:rFonts w:eastAsia="Batang;바탕" w:cs="Verdana" w:ascii="Verdana" w:hAnsi="Verdana"/>
          <w:sz w:val="20"/>
          <w:szCs w:val="20"/>
        </w:rPr>
        <w:t xml:space="preserve">Discriminação do item cotado, respeitando as especificações e condições previstas no </w:t>
      </w:r>
      <w:r>
        <w:rPr>
          <w:rFonts w:eastAsia="Batang;바탕" w:cs="Verdana" w:ascii="Verdana" w:hAnsi="Verdana"/>
          <w:b/>
          <w:sz w:val="20"/>
          <w:szCs w:val="20"/>
        </w:rPr>
        <w:t>ANEXO III</w:t>
      </w:r>
      <w:r>
        <w:rPr>
          <w:rFonts w:eastAsia="Batang;바탕" w:cs="Verdana" w:ascii="Verdana" w:hAnsi="Verdana"/>
          <w:sz w:val="20"/>
          <w:szCs w:val="20"/>
        </w:rPr>
        <w:t>, fazendo constar todas as discriminações tais como, marca, modelo e outras que se fizerem necessárias;</w:t>
      </w:r>
    </w:p>
    <w:p>
      <w:pPr>
        <w:pStyle w:val="Normal"/>
        <w:widowControl w:val="false"/>
        <w:numPr>
          <w:ilvl w:val="0"/>
          <w:numId w:val="2"/>
        </w:numPr>
        <w:tabs>
          <w:tab w:val="clear" w:pos="709"/>
          <w:tab w:val="left" w:pos="-414" w:leader="none"/>
          <w:tab w:val="left" w:pos="-28" w:leader="none"/>
          <w:tab w:val="left" w:pos="306" w:leader="none"/>
          <w:tab w:val="left" w:pos="336" w:leader="none"/>
          <w:tab w:val="left" w:pos="582" w:leader="none"/>
          <w:tab w:val="left" w:pos="2052" w:leader="none"/>
          <w:tab w:val="left" w:pos="2466" w:leader="none"/>
          <w:tab w:val="left" w:pos="2552" w:leader="none"/>
          <w:tab w:val="left" w:pos="2772" w:leader="none"/>
          <w:tab w:val="left" w:pos="3114" w:leader="none"/>
          <w:tab w:val="left" w:pos="3492" w:leader="none"/>
          <w:tab w:val="left" w:pos="3906" w:leader="none"/>
          <w:tab w:val="left" w:pos="4212" w:leader="none"/>
          <w:tab w:val="left" w:pos="4626" w:leader="none"/>
          <w:tab w:val="left" w:pos="4932" w:leader="none"/>
          <w:tab w:val="left" w:pos="5346" w:leader="none"/>
          <w:tab w:val="left" w:pos="5652" w:leader="none"/>
          <w:tab w:val="left" w:pos="6066" w:leader="none"/>
          <w:tab w:val="left" w:pos="6372" w:leader="none"/>
          <w:tab w:val="left" w:pos="6786" w:leader="none"/>
          <w:tab w:val="left" w:pos="7092" w:leader="none"/>
          <w:tab w:val="left" w:pos="7506" w:leader="none"/>
          <w:tab w:val="left" w:pos="7812" w:leader="none"/>
          <w:tab w:val="left" w:pos="8226" w:leader="none"/>
          <w:tab w:val="left" w:pos="8946" w:leader="none"/>
          <w:tab w:val="left" w:pos="9666" w:leader="none"/>
        </w:tabs>
        <w:spacing w:lineRule="auto" w:line="276"/>
        <w:jc w:val="both"/>
        <w:rPr>
          <w:rFonts w:ascii="Verdana" w:hAnsi="Verdana" w:eastAsia="Batang;바탕" w:cs="Verdana"/>
          <w:sz w:val="20"/>
          <w:szCs w:val="20"/>
        </w:rPr>
      </w:pPr>
      <w:r>
        <w:rPr>
          <w:rFonts w:cs="Verdana" w:ascii="Verdana" w:hAnsi="Verdana"/>
          <w:sz w:val="20"/>
          <w:szCs w:val="20"/>
        </w:rPr>
        <w:t xml:space="preserve">Preço unitário com no máximo duas casas decimais </w:t>
      </w:r>
      <w:r>
        <w:rPr>
          <w:rFonts w:cs="Verdana" w:ascii="Verdana" w:hAnsi="Verdana"/>
          <w:b/>
          <w:sz w:val="20"/>
          <w:szCs w:val="20"/>
        </w:rPr>
        <w:t>(x,xx)</w:t>
      </w:r>
      <w:r>
        <w:rPr>
          <w:rFonts w:cs="Verdana" w:ascii="Verdana" w:hAnsi="Verdana"/>
          <w:sz w:val="20"/>
          <w:szCs w:val="20"/>
        </w:rPr>
        <w:t xml:space="preserve"> respeitando os quantitativos e especificações constates no </w:t>
      </w:r>
      <w:r>
        <w:rPr>
          <w:rFonts w:cs="Verdana" w:ascii="Verdana" w:hAnsi="Verdana"/>
          <w:b/>
          <w:sz w:val="20"/>
          <w:szCs w:val="20"/>
        </w:rPr>
        <w:t>ANEXO III, sob pena de desclassificação da proposta;</w:t>
      </w:r>
    </w:p>
    <w:p>
      <w:pPr>
        <w:pStyle w:val="Corpodetexto31"/>
        <w:widowControl w:val="false"/>
        <w:numPr>
          <w:ilvl w:val="0"/>
          <w:numId w:val="2"/>
        </w:numPr>
        <w:tabs>
          <w:tab w:val="clear" w:pos="1026"/>
          <w:tab w:val="clear" w:pos="1530"/>
          <w:tab w:val="clear" w:pos="2262"/>
          <w:tab w:val="clear" w:pos="2664"/>
          <w:tab w:val="clear" w:pos="3228"/>
          <w:tab w:val="left" w:pos="-414" w:leader="none"/>
          <w:tab w:val="left" w:pos="-28" w:leader="none"/>
          <w:tab w:val="left" w:pos="0" w:leader="none"/>
          <w:tab w:val="left" w:pos="306" w:leader="none"/>
          <w:tab w:val="left" w:pos="336" w:leader="none"/>
          <w:tab w:val="left" w:pos="582" w:leader="none"/>
          <w:tab w:val="left" w:pos="2052" w:leader="none"/>
          <w:tab w:val="left" w:pos="2466" w:leader="none"/>
          <w:tab w:val="left" w:pos="2552" w:leader="none"/>
          <w:tab w:val="left" w:pos="2772" w:leader="none"/>
          <w:tab w:val="left" w:pos="3114" w:leader="none"/>
          <w:tab w:val="left" w:pos="3492" w:leader="none"/>
          <w:tab w:val="left" w:pos="3906" w:leader="none"/>
          <w:tab w:val="left" w:pos="4212" w:leader="none"/>
          <w:tab w:val="left" w:pos="4626" w:leader="none"/>
          <w:tab w:val="left" w:pos="4932" w:leader="none"/>
          <w:tab w:val="left" w:pos="5346" w:leader="none"/>
          <w:tab w:val="left" w:pos="5652" w:leader="none"/>
          <w:tab w:val="left" w:pos="6066" w:leader="none"/>
          <w:tab w:val="left" w:pos="6372" w:leader="none"/>
          <w:tab w:val="left" w:pos="6786" w:leader="none"/>
          <w:tab w:val="left" w:pos="7092" w:leader="none"/>
          <w:tab w:val="left" w:pos="7506" w:leader="none"/>
          <w:tab w:val="left" w:pos="7812" w:leader="none"/>
          <w:tab w:val="left" w:pos="8226" w:leader="none"/>
          <w:tab w:val="left" w:pos="8946" w:leader="none"/>
          <w:tab w:val="left" w:pos="9666" w:leader="none"/>
        </w:tabs>
        <w:spacing w:lineRule="auto" w:line="276"/>
        <w:rPr>
          <w:rFonts w:ascii="Verdana" w:hAnsi="Verdana" w:cs="Verdana"/>
          <w:sz w:val="20"/>
          <w:szCs w:val="20"/>
        </w:rPr>
      </w:pPr>
      <w:r>
        <w:rPr>
          <w:rFonts w:eastAsia="Batang;바탕" w:cs="Verdana" w:ascii="Verdana" w:hAnsi="Verdana"/>
          <w:sz w:val="20"/>
          <w:szCs w:val="20"/>
        </w:rPr>
        <w:t xml:space="preserve">Nos valores cotados deverão estar calculados todos os custos de fornecimento, dentre eles, os encargos sociais, impostos, taxas, seguros, transportes, embalagens, licenças, frete e todas as demais despesas necessárias ao fornecimento do objeto licitado, sem ônus adicional </w:t>
      </w:r>
      <w:r>
        <w:rPr>
          <w:rFonts w:eastAsia="Batang;바탕" w:cs="Verdana" w:ascii="Verdana" w:hAnsi="Verdana"/>
          <w:spacing w:val="-3"/>
          <w:sz w:val="20"/>
          <w:szCs w:val="20"/>
        </w:rPr>
        <w:t xml:space="preserve">à </w:t>
      </w:r>
      <w:r>
        <w:rPr>
          <w:rFonts w:eastAsia="Batang;바탕" w:cs="Verdana" w:ascii="Verdana" w:hAnsi="Verdana"/>
          <w:sz w:val="20"/>
          <w:szCs w:val="20"/>
        </w:rPr>
        <w:t>Prefeitura Municipal de São Gabriel da Palha</w:t>
      </w:r>
      <w:r>
        <w:rPr>
          <w:rFonts w:eastAsia="Batang;바탕" w:cs="Verdana" w:ascii="Verdana" w:hAnsi="Verdana"/>
          <w:b/>
          <w:sz w:val="20"/>
          <w:szCs w:val="20"/>
        </w:rPr>
        <w:t>;</w:t>
      </w:r>
    </w:p>
    <w:p>
      <w:pPr>
        <w:pStyle w:val="Corpodetexto31"/>
        <w:widowControl w:val="false"/>
        <w:numPr>
          <w:ilvl w:val="0"/>
          <w:numId w:val="2"/>
        </w:numPr>
        <w:tabs>
          <w:tab w:val="clear" w:pos="1026"/>
          <w:tab w:val="clear" w:pos="1530"/>
          <w:tab w:val="clear" w:pos="2262"/>
          <w:tab w:val="clear" w:pos="2664"/>
          <w:tab w:val="clear" w:pos="3228"/>
          <w:tab w:val="left" w:pos="-414" w:leader="none"/>
          <w:tab w:val="left" w:pos="-28" w:leader="none"/>
          <w:tab w:val="left" w:pos="0" w:leader="none"/>
          <w:tab w:val="left" w:pos="306" w:leader="none"/>
          <w:tab w:val="left" w:pos="336" w:leader="none"/>
          <w:tab w:val="left" w:pos="582" w:leader="none"/>
          <w:tab w:val="left" w:pos="2052" w:leader="none"/>
          <w:tab w:val="left" w:pos="2466" w:leader="none"/>
          <w:tab w:val="left" w:pos="2552" w:leader="none"/>
          <w:tab w:val="left" w:pos="2772" w:leader="none"/>
          <w:tab w:val="left" w:pos="3114" w:leader="none"/>
          <w:tab w:val="left" w:pos="3492" w:leader="none"/>
          <w:tab w:val="left" w:pos="3906" w:leader="none"/>
          <w:tab w:val="left" w:pos="4212" w:leader="none"/>
          <w:tab w:val="left" w:pos="4626" w:leader="none"/>
          <w:tab w:val="left" w:pos="4932" w:leader="none"/>
          <w:tab w:val="left" w:pos="5346" w:leader="none"/>
          <w:tab w:val="left" w:pos="5652" w:leader="none"/>
          <w:tab w:val="left" w:pos="6066" w:leader="none"/>
          <w:tab w:val="left" w:pos="6372" w:leader="none"/>
          <w:tab w:val="left" w:pos="6786" w:leader="none"/>
          <w:tab w:val="left" w:pos="7092" w:leader="none"/>
          <w:tab w:val="left" w:pos="7506" w:leader="none"/>
          <w:tab w:val="left" w:pos="7812" w:leader="none"/>
          <w:tab w:val="left" w:pos="8226" w:leader="none"/>
          <w:tab w:val="left" w:pos="8946" w:leader="none"/>
          <w:tab w:val="left" w:pos="9666" w:leader="none"/>
        </w:tabs>
        <w:spacing w:lineRule="auto" w:line="276"/>
        <w:rPr>
          <w:rFonts w:ascii="Verdana" w:hAnsi="Verdana" w:cs="Verdana"/>
          <w:sz w:val="20"/>
          <w:szCs w:val="20"/>
        </w:rPr>
      </w:pPr>
      <w:r>
        <w:rPr>
          <w:rFonts w:cs="Verdana" w:ascii="Verdana" w:hAnsi="Verdana"/>
          <w:sz w:val="20"/>
          <w:szCs w:val="20"/>
        </w:rPr>
        <w:t xml:space="preserve">No preço já estarão incluídos todos os custos e despesas administrativas, lucros, demais insumos necessários à sua composição, bem como ainda as demais, tais como as com pessoal, direitos trabalhistas, encargos sociais, seguros, licenças, impostos e taxas que incidam ou venham a incidir na execução do objeto contratado e outros eventuais </w:t>
      </w:r>
      <w:r>
        <w:rPr>
          <w:rFonts w:cs="Verdana" w:ascii="Verdana" w:hAnsi="Verdana"/>
          <w:color w:val="000000"/>
          <w:sz w:val="20"/>
          <w:szCs w:val="20"/>
        </w:rPr>
        <w:t>quando</w:t>
      </w:r>
      <w:r>
        <w:rPr>
          <w:rFonts w:cs="Verdana" w:ascii="Verdana" w:hAnsi="Verdana"/>
          <w:sz w:val="20"/>
          <w:szCs w:val="20"/>
        </w:rPr>
        <w:t xml:space="preserve"> for o caso;</w:t>
      </w:r>
    </w:p>
    <w:p>
      <w:pPr>
        <w:pStyle w:val="Corpodetexto31"/>
        <w:widowControl w:val="false"/>
        <w:numPr>
          <w:ilvl w:val="0"/>
          <w:numId w:val="2"/>
        </w:numPr>
        <w:tabs>
          <w:tab w:val="clear" w:pos="1026"/>
          <w:tab w:val="clear" w:pos="1530"/>
          <w:tab w:val="clear" w:pos="2262"/>
          <w:tab w:val="clear" w:pos="2664"/>
          <w:tab w:val="clear" w:pos="3228"/>
          <w:tab w:val="left" w:pos="-414" w:leader="none"/>
          <w:tab w:val="left" w:pos="-28" w:leader="none"/>
          <w:tab w:val="left" w:pos="0" w:leader="none"/>
          <w:tab w:val="left" w:pos="306" w:leader="none"/>
          <w:tab w:val="left" w:pos="336" w:leader="none"/>
          <w:tab w:val="left" w:pos="582" w:leader="none"/>
          <w:tab w:val="left" w:pos="2052" w:leader="none"/>
          <w:tab w:val="left" w:pos="2466" w:leader="none"/>
          <w:tab w:val="left" w:pos="2552" w:leader="none"/>
          <w:tab w:val="left" w:pos="2772" w:leader="none"/>
          <w:tab w:val="left" w:pos="3114" w:leader="none"/>
          <w:tab w:val="left" w:pos="3492" w:leader="none"/>
          <w:tab w:val="left" w:pos="3906" w:leader="none"/>
          <w:tab w:val="left" w:pos="4212" w:leader="none"/>
          <w:tab w:val="left" w:pos="4626" w:leader="none"/>
          <w:tab w:val="left" w:pos="4932" w:leader="none"/>
          <w:tab w:val="left" w:pos="5346" w:leader="none"/>
          <w:tab w:val="left" w:pos="5652" w:leader="none"/>
          <w:tab w:val="left" w:pos="6066" w:leader="none"/>
          <w:tab w:val="left" w:pos="6372" w:leader="none"/>
          <w:tab w:val="left" w:pos="6786" w:leader="none"/>
          <w:tab w:val="left" w:pos="7092" w:leader="none"/>
          <w:tab w:val="left" w:pos="7506" w:leader="none"/>
          <w:tab w:val="left" w:pos="7812" w:leader="none"/>
          <w:tab w:val="left" w:pos="8226" w:leader="none"/>
          <w:tab w:val="left" w:pos="8946" w:leader="none"/>
          <w:tab w:val="left" w:pos="9666" w:leader="none"/>
        </w:tabs>
        <w:spacing w:lineRule="auto" w:line="276"/>
        <w:rPr>
          <w:rFonts w:ascii="Verdana" w:hAnsi="Verdana" w:eastAsia="Batang;바탕" w:cs="Verdana"/>
          <w:b/>
          <w:sz w:val="20"/>
          <w:szCs w:val="20"/>
        </w:rPr>
      </w:pPr>
      <w:r>
        <w:rPr>
          <w:rFonts w:cs="Verdana" w:ascii="Verdana" w:hAnsi="Verdana"/>
          <w:sz w:val="20"/>
          <w:szCs w:val="20"/>
        </w:rPr>
        <w:t xml:space="preserve">Os licitantes não poderão proceder com alterações nas especificações ou quantitativos contidos no </w:t>
      </w:r>
      <w:r>
        <w:rPr>
          <w:rFonts w:cs="Verdana" w:ascii="Verdana" w:hAnsi="Verdana"/>
          <w:b/>
          <w:sz w:val="20"/>
          <w:szCs w:val="20"/>
        </w:rPr>
        <w:t>ANEXO III</w:t>
      </w:r>
      <w:r>
        <w:rPr>
          <w:rFonts w:cs="Verdana" w:ascii="Verdana" w:hAnsi="Verdana"/>
          <w:sz w:val="20"/>
          <w:szCs w:val="20"/>
        </w:rPr>
        <w:t>, exceto se for o caso de pequenas complementações, desde que não venha a descaracterizar o objeto ora licitado, sob pena da desclassificação da proposta;</w:t>
      </w:r>
    </w:p>
    <w:p>
      <w:pPr>
        <w:pStyle w:val="Normal"/>
        <w:tabs>
          <w:tab w:val="clear" w:pos="709"/>
          <w:tab w:val="left" w:pos="-414" w:leader="none"/>
          <w:tab w:val="left" w:pos="0" w:leader="none"/>
          <w:tab w:val="left" w:pos="306" w:leader="none"/>
          <w:tab w:val="left" w:pos="1026"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b/>
          <w:sz w:val="20"/>
          <w:szCs w:val="20"/>
        </w:rPr>
      </w:pPr>
      <w:r>
        <w:rPr>
          <w:rFonts w:eastAsia="Batang;바탕" w:cs="Verdana" w:ascii="Verdana" w:hAnsi="Verdana"/>
          <w:b/>
          <w:sz w:val="20"/>
          <w:szCs w:val="20"/>
        </w:rPr>
        <w:t xml:space="preserve">9.2 – </w:t>
      </w:r>
      <w:r>
        <w:rPr>
          <w:rFonts w:eastAsia="Batang;바탕" w:cs="Verdana" w:ascii="Verdana" w:hAnsi="Verdana"/>
          <w:sz w:val="20"/>
          <w:szCs w:val="20"/>
        </w:rPr>
        <w:t>A simples apresentação da proposta por si só implicará no pleno conhecimento e aceitação por parte do licitante de todas as condições deste edital.</w:t>
      </w:r>
    </w:p>
    <w:p>
      <w:pPr>
        <w:pStyle w:val="Normal"/>
        <w:tabs>
          <w:tab w:val="clear" w:pos="709"/>
          <w:tab w:val="left" w:pos="-414" w:leader="none"/>
          <w:tab w:val="left" w:pos="0" w:leader="none"/>
          <w:tab w:val="left" w:pos="306" w:leader="none"/>
          <w:tab w:val="left" w:pos="1026"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b/>
          <w:sz w:val="20"/>
          <w:szCs w:val="20"/>
          <w:lang w:eastAsia="pt-BR"/>
        </w:rPr>
      </w:pPr>
      <w:r>
        <w:rPr>
          <w:rFonts w:eastAsia="Batang;바탕" w:cs="Verdana" w:ascii="Verdana" w:hAnsi="Verdana"/>
          <w:b/>
          <w:sz w:val="20"/>
          <w:szCs w:val="20"/>
        </w:rPr>
        <w:t xml:space="preserve">9.3 – </w:t>
      </w:r>
      <w:r>
        <w:rPr>
          <w:rFonts w:eastAsia="Batang;바탕" w:cs="Verdana" w:ascii="Verdana" w:hAnsi="Verdana"/>
          <w:sz w:val="20"/>
          <w:szCs w:val="20"/>
        </w:rPr>
        <w:t>A simples apresentação de proposta pela empresa licitante já estabelece seu prazo de validade, que não será inferior a 60 (sessenta) dias contados da data de sua abertura;</w:t>
      </w:r>
    </w:p>
    <w:p>
      <w:pPr>
        <w:pStyle w:val="BodyText2"/>
        <w:tabs>
          <w:tab w:val="clear" w:pos="709"/>
          <w:tab w:val="left" w:pos="1926" w:leader="none"/>
          <w:tab w:val="left" w:pos="2466" w:leader="none"/>
          <w:tab w:val="left" w:pos="3114" w:leader="none"/>
          <w:tab w:val="left" w:pos="3906" w:leader="none"/>
          <w:tab w:val="left" w:pos="4626" w:leader="none"/>
          <w:tab w:val="left" w:pos="5346" w:leader="none"/>
        </w:tabs>
        <w:spacing w:lineRule="auto" w:line="276"/>
        <w:ind w:hanging="0" w:right="0"/>
        <w:rPr>
          <w:rFonts w:ascii="Verdana" w:hAnsi="Verdana" w:eastAsia="Batang;바탕" w:cs="Verdana"/>
          <w:b/>
          <w:bCs/>
          <w:sz w:val="20"/>
          <w:szCs w:val="20"/>
        </w:rPr>
      </w:pPr>
      <w:r>
        <w:rPr>
          <w:rFonts w:eastAsia="Batang;바탕" w:cs="Verdana" w:ascii="Verdana" w:hAnsi="Verdana"/>
          <w:b/>
          <w:sz w:val="20"/>
          <w:szCs w:val="20"/>
          <w:lang w:eastAsia="pt-BR"/>
        </w:rPr>
        <w:t>9.4 –</w:t>
      </w:r>
      <w:r>
        <w:rPr>
          <w:rFonts w:eastAsia="Batang;바탕" w:cs="Verdana" w:ascii="Verdana" w:hAnsi="Verdana"/>
          <w:sz w:val="20"/>
          <w:szCs w:val="20"/>
          <w:lang w:eastAsia="pt-BR"/>
        </w:rPr>
        <w:t xml:space="preserve"> Não será considerada nenhuma oferta ou vantagem baseada nas propostas dos demais licitantes ou não prevista neste edital.</w:t>
      </w:r>
    </w:p>
    <w:p>
      <w:pPr>
        <w:pStyle w:val="Normal"/>
        <w:widowControl w:val="false"/>
        <w:tabs>
          <w:tab w:val="clear" w:pos="709"/>
          <w:tab w:val="left" w:pos="-414" w:leader="none"/>
          <w:tab w:val="left" w:pos="0" w:leader="none"/>
          <w:tab w:val="left" w:pos="306" w:leader="none"/>
          <w:tab w:val="left" w:pos="1026"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b/>
          <w:sz w:val="20"/>
          <w:szCs w:val="20"/>
          <w:u w:val="single"/>
        </w:rPr>
      </w:pPr>
      <w:r>
        <w:rPr>
          <w:rFonts w:eastAsia="Batang;바탕" w:cs="Verdana" w:ascii="Verdana" w:hAnsi="Verdana"/>
          <w:b/>
          <w:bCs/>
          <w:sz w:val="20"/>
          <w:szCs w:val="20"/>
        </w:rPr>
        <w:t xml:space="preserve">9.5 – </w:t>
      </w:r>
      <w:r>
        <w:rPr>
          <w:rFonts w:eastAsia="Batang;바탕" w:cs="Verdana" w:ascii="Verdana" w:hAnsi="Verdana"/>
          <w:sz w:val="20"/>
          <w:szCs w:val="20"/>
        </w:rPr>
        <w:t>Não serão aceitas propostas parciais (quantidade inferior) com relação ao lote ora licitado.</w:t>
      </w:r>
    </w:p>
    <w:p>
      <w:pPr>
        <w:pStyle w:val="Normal"/>
        <w:tabs>
          <w:tab w:val="clear" w:pos="709"/>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center"/>
        <w:rPr>
          <w:rFonts w:ascii="Verdana" w:hAnsi="Verdana" w:eastAsia="Batang;바탕" w:cs="Verdana"/>
          <w:b/>
          <w:sz w:val="20"/>
          <w:szCs w:val="20"/>
          <w:u w:val="single"/>
        </w:rPr>
      </w:pPr>
      <w:r>
        <w:rPr>
          <w:rFonts w:eastAsia="Batang;바탕" w:cs="Verdana" w:ascii="Verdana" w:hAnsi="Verdana"/>
          <w:b/>
          <w:sz w:val="20"/>
          <w:szCs w:val="20"/>
          <w:u w:val="single"/>
        </w:rPr>
      </w:r>
    </w:p>
    <w:p>
      <w:pPr>
        <w:pStyle w:val="Normal"/>
        <w:tabs>
          <w:tab w:val="clear" w:pos="709"/>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center"/>
        <w:rPr>
          <w:rFonts w:ascii="Verdana" w:hAnsi="Verdana" w:eastAsia="Batang;바탕" w:cs="Verdana"/>
          <w:b/>
          <w:sz w:val="20"/>
          <w:szCs w:val="20"/>
          <w:u w:val="single"/>
        </w:rPr>
      </w:pPr>
      <w:r>
        <w:rPr>
          <w:rFonts w:eastAsia="Batang;바탕" w:cs="Verdana" w:ascii="Verdana" w:hAnsi="Verdana"/>
          <w:b/>
          <w:sz w:val="20"/>
          <w:szCs w:val="20"/>
          <w:u w:val="single"/>
        </w:rPr>
      </w:r>
    </w:p>
    <w:p>
      <w:pPr>
        <w:pStyle w:val="Normal"/>
        <w:tabs>
          <w:tab w:val="clear" w:pos="709"/>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center"/>
        <w:rPr>
          <w:rFonts w:ascii="Verdana" w:hAnsi="Verdana" w:eastAsia="Batang;바탕" w:cs="Verdana"/>
          <w:b/>
          <w:sz w:val="20"/>
          <w:szCs w:val="20"/>
          <w:u w:val="single"/>
        </w:rPr>
      </w:pPr>
      <w:r>
        <w:rPr>
          <w:rFonts w:eastAsia="Batang;바탕" w:cs="Verdana" w:ascii="Verdana" w:hAnsi="Verdana"/>
          <w:b/>
          <w:sz w:val="20"/>
          <w:szCs w:val="20"/>
          <w:u w:val="single"/>
        </w:rPr>
      </w:r>
    </w:p>
    <w:p>
      <w:pPr>
        <w:pStyle w:val="Normal"/>
        <w:tabs>
          <w:tab w:val="clear" w:pos="709"/>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center"/>
        <w:rPr>
          <w:rFonts w:ascii="Verdana" w:hAnsi="Verdana" w:eastAsia="Batang;바탕" w:cs="Verdana"/>
          <w:b/>
          <w:sz w:val="20"/>
          <w:szCs w:val="20"/>
        </w:rPr>
      </w:pPr>
      <w:r>
        <w:rPr>
          <w:rFonts w:eastAsia="Batang;바탕" w:cs="Verdana" w:ascii="Verdana" w:hAnsi="Verdana"/>
          <w:b/>
          <w:sz w:val="20"/>
          <w:szCs w:val="20"/>
          <w:u w:val="single"/>
        </w:rPr>
        <w:t>X – DA DOCUMENTAÇÃO</w:t>
      </w:r>
    </w:p>
    <w:p>
      <w:pPr>
        <w:pStyle w:val="Normal"/>
        <w:tabs>
          <w:tab w:val="clear" w:pos="709"/>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both"/>
        <w:rPr>
          <w:rFonts w:ascii="Verdana" w:hAnsi="Verdana" w:eastAsia="Batang;바탕" w:cs="Verdana"/>
          <w:b/>
          <w:sz w:val="20"/>
          <w:szCs w:val="20"/>
          <w:u w:val="single"/>
        </w:rPr>
      </w:pPr>
      <w:r>
        <w:rPr>
          <w:rFonts w:eastAsia="Batang;바탕" w:cs="Verdana" w:ascii="Verdana" w:hAnsi="Verdana"/>
          <w:b/>
          <w:sz w:val="20"/>
          <w:szCs w:val="20"/>
        </w:rPr>
        <w:t>10.1 –</w:t>
      </w:r>
      <w:r>
        <w:rPr>
          <w:rFonts w:eastAsia="Batang;바탕" w:cs="Verdana" w:ascii="Verdana" w:hAnsi="Verdana"/>
          <w:sz w:val="20"/>
          <w:szCs w:val="20"/>
        </w:rPr>
        <w:t xml:space="preserve"> O envelope nº 02 – DOCUMENTAÇÃO deverá conter a documentação a seguir especificada, em original ou através de cópias reprográficas.</w:t>
      </w:r>
    </w:p>
    <w:p>
      <w:pPr>
        <w:pStyle w:val="Normal"/>
        <w:spacing w:lineRule="auto" w:line="276"/>
        <w:jc w:val="both"/>
        <w:rPr>
          <w:rFonts w:ascii="Verdana" w:hAnsi="Verdana" w:eastAsia="Batang;바탕" w:cs="Verdana"/>
          <w:b/>
          <w:sz w:val="20"/>
          <w:szCs w:val="20"/>
          <w:u w:val="single"/>
        </w:rPr>
      </w:pPr>
      <w:r>
        <w:rPr>
          <w:rFonts w:eastAsia="Batang;바탕" w:cs="Verdana" w:ascii="Verdana" w:hAnsi="Verdana"/>
          <w:b/>
          <w:sz w:val="20"/>
          <w:szCs w:val="20"/>
          <w:u w:val="single"/>
        </w:rPr>
        <w:t>10.1.1</w:t>
      </w:r>
      <w:r>
        <w:rPr>
          <w:rFonts w:eastAsia="Batang;바탕" w:cs="Verdana" w:ascii="Verdana" w:hAnsi="Verdana"/>
          <w:sz w:val="20"/>
          <w:szCs w:val="20"/>
          <w:u w:val="single"/>
        </w:rPr>
        <w:t xml:space="preserve"> </w:t>
      </w:r>
      <w:r>
        <w:rPr>
          <w:rFonts w:eastAsia="Batang;바탕" w:cs="Verdana" w:ascii="Verdana" w:hAnsi="Verdana"/>
          <w:b/>
          <w:sz w:val="20"/>
          <w:szCs w:val="20"/>
          <w:u w:val="single"/>
        </w:rPr>
        <w:t xml:space="preserve">– Habilitação Jurídica: </w:t>
      </w:r>
      <w:r>
        <w:rPr>
          <w:rFonts w:eastAsia="Batang;바탕" w:cs="Verdana" w:ascii="Verdana" w:hAnsi="Verdana"/>
          <w:sz w:val="20"/>
          <w:szCs w:val="20"/>
        </w:rPr>
        <w:t>Fica neste momento dispensada a apresentação do Ato Constitutivo ou instrumento equivalente, devidamente registrado no órgão competente em função da sua exigência na etapa de credenciamento, tendo em vista a necessidade de confirmação de informações da empresa naquela etapa.</w:t>
      </w:r>
    </w:p>
    <w:p>
      <w:pPr>
        <w:pStyle w:val="Normal"/>
        <w:spacing w:lineRule="auto" w:line="276"/>
        <w:jc w:val="both"/>
        <w:rPr>
          <w:rFonts w:ascii="Verdana" w:hAnsi="Verdana" w:cs="Verdana"/>
          <w:sz w:val="20"/>
          <w:szCs w:val="20"/>
        </w:rPr>
      </w:pPr>
      <w:r>
        <w:rPr>
          <w:rFonts w:eastAsia="Batang;바탕" w:cs="Verdana" w:ascii="Verdana" w:hAnsi="Verdana"/>
          <w:b/>
          <w:sz w:val="20"/>
          <w:szCs w:val="20"/>
          <w:u w:val="single"/>
        </w:rPr>
        <w:t>10.1.2 – Regularidade Fiscal</w:t>
      </w:r>
    </w:p>
    <w:p>
      <w:pPr>
        <w:pStyle w:val="Normal"/>
        <w:numPr>
          <w:ilvl w:val="0"/>
          <w:numId w:val="3"/>
        </w:numPr>
        <w:tabs>
          <w:tab w:val="clear" w:pos="709"/>
          <w:tab w:val="left" w:pos="420" w:leader="none"/>
        </w:tabs>
        <w:spacing w:lineRule="auto" w:line="276"/>
        <w:ind w:hanging="0" w:left="0" w:right="0"/>
        <w:jc w:val="both"/>
        <w:rPr>
          <w:rFonts w:ascii="Verdana" w:hAnsi="Verdana" w:cs="Verdana"/>
          <w:sz w:val="20"/>
          <w:szCs w:val="20"/>
        </w:rPr>
      </w:pPr>
      <w:r>
        <w:rPr>
          <w:rFonts w:cs="Verdana" w:ascii="Verdana" w:hAnsi="Verdana"/>
          <w:sz w:val="20"/>
          <w:szCs w:val="20"/>
        </w:rPr>
        <w:t>Certidão de regularidade junto à fazenda pública</w:t>
      </w:r>
      <w:r>
        <w:rPr>
          <w:rFonts w:cs="Verdana" w:ascii="Verdana" w:hAnsi="Verdana"/>
          <w:b/>
          <w:sz w:val="20"/>
          <w:szCs w:val="20"/>
        </w:rPr>
        <w:t xml:space="preserve"> Municipal, </w:t>
      </w:r>
      <w:r>
        <w:rPr>
          <w:rFonts w:cs="Verdana" w:ascii="Verdana" w:hAnsi="Verdana"/>
          <w:sz w:val="20"/>
          <w:szCs w:val="20"/>
        </w:rPr>
        <w:t>do domicílio do Licitante</w:t>
      </w:r>
      <w:r>
        <w:rPr>
          <w:rFonts w:cs="Verdana" w:ascii="Verdana" w:hAnsi="Verdana"/>
          <w:b/>
          <w:sz w:val="20"/>
          <w:szCs w:val="20"/>
        </w:rPr>
        <w:t>;</w:t>
      </w:r>
    </w:p>
    <w:p>
      <w:pPr>
        <w:pStyle w:val="Normal"/>
        <w:numPr>
          <w:ilvl w:val="0"/>
          <w:numId w:val="3"/>
        </w:numPr>
        <w:tabs>
          <w:tab w:val="clear" w:pos="709"/>
          <w:tab w:val="left" w:pos="420" w:leader="none"/>
        </w:tabs>
        <w:spacing w:lineRule="auto" w:line="276"/>
        <w:ind w:hanging="0" w:left="0" w:right="0"/>
        <w:jc w:val="both"/>
        <w:rPr>
          <w:rFonts w:ascii="Verdana" w:hAnsi="Verdana" w:cs="Verdana"/>
          <w:sz w:val="20"/>
          <w:szCs w:val="20"/>
        </w:rPr>
      </w:pPr>
      <w:r>
        <w:rPr>
          <w:rFonts w:cs="Verdana" w:ascii="Verdana" w:hAnsi="Verdana"/>
          <w:sz w:val="20"/>
          <w:szCs w:val="20"/>
        </w:rPr>
        <w:t>Certidão de regularidade junto à fazenda pública</w:t>
      </w:r>
      <w:r>
        <w:rPr>
          <w:rFonts w:cs="Verdana" w:ascii="Verdana" w:hAnsi="Verdana"/>
          <w:b/>
          <w:sz w:val="20"/>
          <w:szCs w:val="20"/>
        </w:rPr>
        <w:t xml:space="preserve"> Estadual, </w:t>
      </w:r>
      <w:r>
        <w:rPr>
          <w:rFonts w:cs="Verdana" w:ascii="Verdana" w:hAnsi="Verdana"/>
          <w:sz w:val="20"/>
          <w:szCs w:val="20"/>
        </w:rPr>
        <w:t>do domicílio do Licitante</w:t>
      </w:r>
      <w:r>
        <w:rPr>
          <w:rFonts w:cs="Verdana" w:ascii="Verdana" w:hAnsi="Verdana"/>
          <w:b/>
          <w:sz w:val="20"/>
          <w:szCs w:val="20"/>
        </w:rPr>
        <w:t>;</w:t>
      </w:r>
    </w:p>
    <w:p>
      <w:pPr>
        <w:pStyle w:val="Normal"/>
        <w:numPr>
          <w:ilvl w:val="0"/>
          <w:numId w:val="3"/>
        </w:numPr>
        <w:tabs>
          <w:tab w:val="clear" w:pos="709"/>
          <w:tab w:val="left" w:pos="420" w:leader="none"/>
        </w:tabs>
        <w:spacing w:lineRule="auto" w:line="276"/>
        <w:ind w:hanging="0" w:left="0" w:right="0"/>
        <w:jc w:val="both"/>
        <w:rPr>
          <w:rFonts w:ascii="Verdana" w:hAnsi="Verdana" w:cs="Verdana"/>
          <w:sz w:val="20"/>
          <w:szCs w:val="20"/>
        </w:rPr>
      </w:pPr>
      <w:r>
        <w:rPr>
          <w:rFonts w:cs="Verdana" w:ascii="Verdana" w:hAnsi="Verdana"/>
          <w:sz w:val="20"/>
          <w:szCs w:val="20"/>
        </w:rPr>
        <w:t xml:space="preserve">Certidão conjunta de regularidade junto à fazenda pública </w:t>
      </w:r>
      <w:r>
        <w:rPr>
          <w:rFonts w:cs="Verdana" w:ascii="Verdana" w:hAnsi="Verdana"/>
          <w:b/>
          <w:sz w:val="20"/>
          <w:szCs w:val="20"/>
        </w:rPr>
        <w:t>Federal,</w:t>
      </w:r>
      <w:r>
        <w:rPr>
          <w:rFonts w:cs="Verdana" w:ascii="Verdana" w:hAnsi="Verdana"/>
          <w:sz w:val="20"/>
          <w:szCs w:val="20"/>
        </w:rPr>
        <w:t xml:space="preserve"> </w:t>
      </w:r>
      <w:r>
        <w:rPr>
          <w:rFonts w:cs="Verdana" w:ascii="Verdana" w:hAnsi="Verdana"/>
          <w:b/>
          <w:sz w:val="20"/>
          <w:szCs w:val="20"/>
        </w:rPr>
        <w:t xml:space="preserve">(Quitação de tributos e contribuições Federais e Quanto à dívida ativa da União) </w:t>
      </w:r>
      <w:r>
        <w:rPr>
          <w:rFonts w:cs="Verdana" w:ascii="Verdana" w:hAnsi="Verdana"/>
          <w:sz w:val="20"/>
          <w:szCs w:val="20"/>
        </w:rPr>
        <w:t>e junto ao</w:t>
      </w:r>
      <w:r>
        <w:rPr>
          <w:rFonts w:cs="Verdana" w:ascii="Verdana" w:hAnsi="Verdana"/>
          <w:b/>
          <w:sz w:val="20"/>
          <w:szCs w:val="20"/>
        </w:rPr>
        <w:t xml:space="preserve"> INSS, conforme Portaria MF nº 358 de 05/09/2014.</w:t>
      </w:r>
    </w:p>
    <w:p>
      <w:pPr>
        <w:pStyle w:val="Normal"/>
        <w:numPr>
          <w:ilvl w:val="0"/>
          <w:numId w:val="3"/>
        </w:numPr>
        <w:tabs>
          <w:tab w:val="clear" w:pos="709"/>
          <w:tab w:val="left" w:pos="360" w:leader="none"/>
        </w:tabs>
        <w:spacing w:lineRule="auto" w:line="276"/>
        <w:ind w:hanging="0" w:left="0" w:right="0"/>
        <w:jc w:val="both"/>
        <w:rPr>
          <w:rFonts w:ascii="Verdana" w:hAnsi="Verdana" w:cs="Verdana"/>
          <w:sz w:val="20"/>
          <w:szCs w:val="20"/>
        </w:rPr>
      </w:pPr>
      <w:r>
        <w:rPr>
          <w:rFonts w:cs="Verdana" w:ascii="Verdana" w:hAnsi="Verdana"/>
          <w:sz w:val="20"/>
          <w:szCs w:val="20"/>
        </w:rPr>
        <w:t>Certidão de regularidade junto ao</w:t>
      </w:r>
      <w:r>
        <w:rPr>
          <w:rFonts w:cs="Verdana" w:ascii="Verdana" w:hAnsi="Verdana"/>
          <w:b/>
          <w:sz w:val="20"/>
          <w:szCs w:val="20"/>
        </w:rPr>
        <w:t xml:space="preserve"> FGTS;</w:t>
      </w:r>
    </w:p>
    <w:p>
      <w:pPr>
        <w:pStyle w:val="Normal"/>
        <w:numPr>
          <w:ilvl w:val="0"/>
          <w:numId w:val="3"/>
        </w:numPr>
        <w:tabs>
          <w:tab w:val="clear" w:pos="709"/>
          <w:tab w:val="left" w:pos="-1980" w:leader="none"/>
          <w:tab w:val="left" w:pos="360" w:leader="none"/>
        </w:tabs>
        <w:spacing w:lineRule="auto" w:line="276"/>
        <w:ind w:hanging="0" w:left="0" w:right="0"/>
        <w:jc w:val="both"/>
        <w:rPr>
          <w:rFonts w:ascii="Verdana" w:hAnsi="Verdana" w:cs="Verdana"/>
          <w:sz w:val="20"/>
          <w:szCs w:val="20"/>
        </w:rPr>
      </w:pPr>
      <w:r>
        <w:rPr>
          <w:rFonts w:cs="Verdana" w:ascii="Verdana" w:hAnsi="Verdana"/>
          <w:sz w:val="20"/>
          <w:szCs w:val="20"/>
        </w:rPr>
        <w:t>Prova de inscrição no Cadastro Nacional de Pessoa Jurídica (cartão do CNPJ.).</w:t>
      </w:r>
    </w:p>
    <w:p>
      <w:pPr>
        <w:pStyle w:val="Normal"/>
        <w:numPr>
          <w:ilvl w:val="0"/>
          <w:numId w:val="3"/>
        </w:numPr>
        <w:tabs>
          <w:tab w:val="clear" w:pos="709"/>
          <w:tab w:val="left" w:pos="-1980" w:leader="none"/>
          <w:tab w:val="left" w:pos="360" w:leader="none"/>
        </w:tabs>
        <w:spacing w:lineRule="auto" w:line="276"/>
        <w:ind w:hanging="0" w:left="0" w:right="0"/>
        <w:jc w:val="both"/>
        <w:rPr>
          <w:rFonts w:ascii="Verdana" w:hAnsi="Verdana" w:eastAsia="Batang;바탕" w:cs="Verdana"/>
          <w:b/>
          <w:sz w:val="20"/>
          <w:szCs w:val="20"/>
          <w:u w:val="single"/>
        </w:rPr>
      </w:pPr>
      <w:r>
        <w:rPr>
          <w:rFonts w:cs="Verdana" w:ascii="Verdana" w:hAnsi="Verdana"/>
          <w:sz w:val="20"/>
          <w:szCs w:val="20"/>
        </w:rPr>
        <w:t>Certidão Negativa De Débitos Trabalhistas (</w:t>
      </w:r>
      <w:r>
        <w:rPr>
          <w:rFonts w:cs="Verdana" w:ascii="Verdana" w:hAnsi="Verdana"/>
          <w:b/>
          <w:sz w:val="20"/>
          <w:szCs w:val="20"/>
        </w:rPr>
        <w:t>CNDT</w:t>
      </w:r>
      <w:r>
        <w:rPr>
          <w:rFonts w:cs="Verdana" w:ascii="Verdana" w:hAnsi="Verdana"/>
          <w:sz w:val="20"/>
          <w:szCs w:val="20"/>
        </w:rPr>
        <w:t>) de acordo com a Lei 12440 de 7 de julho de 2011.</w:t>
      </w:r>
    </w:p>
    <w:p>
      <w:pPr>
        <w:pStyle w:val="Normal"/>
        <w:spacing w:lineRule="auto" w:line="276"/>
        <w:rPr>
          <w:rFonts w:ascii="Verdana" w:hAnsi="Verdana" w:cs="Verdana"/>
          <w:b/>
          <w:sz w:val="20"/>
          <w:szCs w:val="20"/>
        </w:rPr>
      </w:pPr>
      <w:r>
        <w:rPr>
          <w:rFonts w:eastAsia="Batang;바탕" w:cs="Verdana" w:ascii="Verdana" w:hAnsi="Verdana"/>
          <w:b/>
          <w:sz w:val="20"/>
          <w:szCs w:val="20"/>
          <w:u w:val="single"/>
        </w:rPr>
        <w:t>10.1.3 – Qualificação Econômica Financeira</w:t>
      </w:r>
    </w:p>
    <w:p>
      <w:pPr>
        <w:pStyle w:val="Normal"/>
        <w:spacing w:lineRule="auto" w:line="276"/>
        <w:jc w:val="both"/>
        <w:rPr>
          <w:rFonts w:ascii="Verdana" w:hAnsi="Verdana" w:cs="Verdana"/>
          <w:b/>
          <w:sz w:val="20"/>
          <w:szCs w:val="20"/>
        </w:rPr>
      </w:pPr>
      <w:r>
        <w:rPr>
          <w:rFonts w:cs="Verdana" w:ascii="Verdana" w:hAnsi="Verdana"/>
          <w:b/>
          <w:sz w:val="20"/>
          <w:szCs w:val="20"/>
        </w:rPr>
        <w:t>a)</w:t>
      </w:r>
      <w:r>
        <w:rPr>
          <w:rFonts w:cs="Verdana" w:ascii="Verdana" w:hAnsi="Verdana"/>
          <w:sz w:val="20"/>
          <w:szCs w:val="20"/>
        </w:rPr>
        <w:t xml:space="preserve"> Certidão negativa de falência, recuperação judicial e extrajudicial, expedida pelo cartório distribuidor da sede da Licitante ou por meio digital, emitida em </w:t>
      </w:r>
      <w:r>
        <w:rPr>
          <w:rFonts w:cs="Verdana" w:ascii="Verdana" w:hAnsi="Verdana"/>
          <w:b/>
          <w:sz w:val="20"/>
          <w:szCs w:val="20"/>
        </w:rPr>
        <w:t>até 30 (trinta)</w:t>
      </w:r>
      <w:r>
        <w:rPr>
          <w:rFonts w:cs="Verdana" w:ascii="Verdana" w:hAnsi="Verdana"/>
          <w:sz w:val="20"/>
          <w:szCs w:val="20"/>
        </w:rPr>
        <w:t xml:space="preserve"> dias anteriores à data de abertura da Licitação;</w:t>
      </w:r>
    </w:p>
    <w:p>
      <w:pPr>
        <w:pStyle w:val="Normal"/>
        <w:spacing w:lineRule="auto" w:line="276"/>
        <w:jc w:val="both"/>
        <w:rPr>
          <w:rFonts w:ascii="Verdana" w:hAnsi="Verdana" w:cs="Verdana"/>
          <w:b/>
          <w:sz w:val="20"/>
          <w:szCs w:val="20"/>
        </w:rPr>
      </w:pPr>
      <w:r>
        <w:rPr>
          <w:rFonts w:cs="Verdana" w:ascii="Verdana" w:hAnsi="Verdana"/>
          <w:b/>
          <w:sz w:val="20"/>
          <w:szCs w:val="20"/>
        </w:rPr>
        <w:t>b)</w:t>
      </w:r>
      <w:r>
        <w:rPr>
          <w:rFonts w:cs="Verdana" w:ascii="Verdana" w:hAnsi="Verdana"/>
          <w:sz w:val="20"/>
          <w:szCs w:val="20"/>
        </w:rPr>
        <w:t xml:space="preserve"> Havendo algum prazo de validade estabelecido por cartório na certidão citada na letra anterior, será considerado o prazo constante da certidão para comprovação da sua validade.</w:t>
      </w:r>
    </w:p>
    <w:p>
      <w:pPr>
        <w:pStyle w:val="Normal"/>
        <w:spacing w:lineRule="auto" w:line="276"/>
        <w:jc w:val="both"/>
        <w:rPr>
          <w:rFonts w:ascii="Verdana" w:hAnsi="Verdana" w:cs="Verdana"/>
          <w:b/>
          <w:sz w:val="20"/>
          <w:szCs w:val="20"/>
        </w:rPr>
      </w:pPr>
      <w:r>
        <w:rPr>
          <w:rFonts w:cs="Verdana" w:ascii="Verdana" w:hAnsi="Verdana"/>
          <w:b/>
          <w:sz w:val="20"/>
          <w:szCs w:val="20"/>
        </w:rPr>
        <w:t>c)</w:t>
      </w:r>
      <w:r>
        <w:rPr>
          <w:rFonts w:cs="Verdana" w:ascii="Verdana" w:hAnsi="Verdana"/>
          <w:sz w:val="20"/>
          <w:szCs w:val="20"/>
        </w:rPr>
        <w:t xml:space="preserve"> Para a contagem do prazo estabelecido na letra </w:t>
      </w:r>
      <w:r>
        <w:rPr>
          <w:rFonts w:cs="Verdana" w:ascii="Verdana" w:hAnsi="Verdana"/>
          <w:b/>
          <w:sz w:val="20"/>
          <w:szCs w:val="20"/>
        </w:rPr>
        <w:t>“a”</w:t>
      </w:r>
      <w:r>
        <w:rPr>
          <w:rFonts w:cs="Verdana" w:ascii="Verdana" w:hAnsi="Verdana"/>
          <w:sz w:val="20"/>
          <w:szCs w:val="20"/>
        </w:rPr>
        <w:t xml:space="preserve"> deste capítulo, será contado a partir do primeiro dia que antecede a data da realização desta licitação.</w:t>
      </w:r>
    </w:p>
    <w:p>
      <w:pPr>
        <w:pStyle w:val="Normal"/>
        <w:spacing w:lineRule="auto" w:line="276"/>
        <w:jc w:val="both"/>
        <w:rPr>
          <w:rFonts w:ascii="Verdana" w:hAnsi="Verdana" w:eastAsia="Batang;바탕" w:cs="Verdana"/>
          <w:b/>
          <w:sz w:val="20"/>
          <w:szCs w:val="20"/>
          <w:u w:val="single"/>
        </w:rPr>
      </w:pPr>
      <w:r>
        <w:rPr>
          <w:rFonts w:cs="Verdana" w:ascii="Verdana" w:hAnsi="Verdana"/>
          <w:b/>
          <w:sz w:val="20"/>
          <w:szCs w:val="20"/>
        </w:rPr>
        <w:t>d)</w:t>
      </w:r>
      <w:r>
        <w:rPr>
          <w:rFonts w:cs="Verdana" w:ascii="Verdana" w:hAnsi="Verdana"/>
          <w:sz w:val="20"/>
          <w:szCs w:val="20"/>
        </w:rPr>
        <w:t xml:space="preserve">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9"/>
          <w:tab w:val="left" w:pos="0" w:leader="none"/>
        </w:tabs>
        <w:spacing w:lineRule="auto" w:line="276"/>
        <w:jc w:val="both"/>
        <w:rPr>
          <w:rFonts w:ascii="Verdana" w:hAnsi="Verdana" w:eastAsia="Batang;바탕" w:cs="Verdana"/>
          <w:b/>
          <w:sz w:val="20"/>
          <w:szCs w:val="20"/>
        </w:rPr>
      </w:pPr>
      <w:r>
        <w:rPr>
          <w:rFonts w:eastAsia="Batang;바탕" w:cs="Verdana" w:ascii="Verdana" w:hAnsi="Verdana"/>
          <w:b/>
          <w:sz w:val="20"/>
          <w:szCs w:val="20"/>
          <w:u w:val="single"/>
        </w:rPr>
        <w:t>10.1.4 – Cumprimento ao disposto no inciso XXXIII do Art. 7º da Constituição Federal.</w:t>
      </w:r>
    </w:p>
    <w:p>
      <w:pPr>
        <w:pStyle w:val="Normal"/>
        <w:tabs>
          <w:tab w:val="clear" w:pos="709"/>
          <w:tab w:val="left" w:pos="360" w:leader="none"/>
        </w:tabs>
        <w:spacing w:lineRule="auto" w:line="276"/>
        <w:jc w:val="both"/>
        <w:rPr>
          <w:rFonts w:ascii="Verdana" w:hAnsi="Verdana" w:eastAsia="Batang;바탕" w:cs="Verdana"/>
          <w:b/>
          <w:sz w:val="20"/>
          <w:szCs w:val="20"/>
          <w:u w:val="single"/>
        </w:rPr>
      </w:pPr>
      <w:r>
        <w:rPr>
          <w:rFonts w:eastAsia="Batang;바탕" w:cs="Verdana" w:ascii="Verdana" w:hAnsi="Verdana"/>
          <w:b/>
          <w:sz w:val="20"/>
          <w:szCs w:val="20"/>
        </w:rPr>
        <w:t xml:space="preserve">a) </w:t>
      </w:r>
      <w:r>
        <w:rPr>
          <w:rFonts w:cs="Verdana" w:ascii="Verdana" w:hAnsi="Verdana"/>
          <w:sz w:val="20"/>
          <w:szCs w:val="20"/>
        </w:rPr>
        <w:t>Declaração de que a empresa não possui em seu quadro funcional, empregados menores de 18 anos atuando em trabalho noturno, perigoso ou insalubre e ainda que não possua menores de 16 anos trabalhando na empresa, salvo no caso de aprendiz que somente poderá ocorrer a partir dos 14 anos de idade.</w:t>
      </w:r>
    </w:p>
    <w:p>
      <w:pPr>
        <w:pStyle w:val="Normal"/>
        <w:spacing w:lineRule="auto" w:line="276"/>
        <w:jc w:val="both"/>
        <w:rPr>
          <w:rFonts w:ascii="Verdana" w:hAnsi="Verdana" w:cs="Verdana"/>
          <w:b/>
          <w:sz w:val="20"/>
          <w:szCs w:val="20"/>
        </w:rPr>
      </w:pPr>
      <w:r>
        <w:rPr>
          <w:rFonts w:eastAsia="Batang;바탕" w:cs="Verdana" w:ascii="Verdana" w:hAnsi="Verdana"/>
          <w:b/>
          <w:sz w:val="20"/>
          <w:szCs w:val="20"/>
          <w:u w:val="single"/>
        </w:rPr>
        <w:t>10.1.5 – Condições gerais para a apresentação da documentação.</w:t>
      </w:r>
    </w:p>
    <w:p>
      <w:pPr>
        <w:pStyle w:val="Normal"/>
        <w:tabs>
          <w:tab w:val="clear" w:pos="709"/>
          <w:tab w:val="left" w:pos="0" w:leader="none"/>
        </w:tabs>
        <w:spacing w:lineRule="auto" w:line="276"/>
        <w:jc w:val="both"/>
        <w:rPr>
          <w:rFonts w:ascii="Verdana" w:hAnsi="Verdana" w:cs="Verdana"/>
          <w:b/>
          <w:sz w:val="20"/>
          <w:szCs w:val="20"/>
        </w:rPr>
      </w:pPr>
      <w:r>
        <w:rPr>
          <w:rFonts w:cs="Verdana" w:ascii="Verdana" w:hAnsi="Verdana"/>
          <w:b/>
          <w:sz w:val="20"/>
          <w:szCs w:val="20"/>
        </w:rPr>
        <w:t>a)</w:t>
      </w:r>
      <w:r>
        <w:rPr>
          <w:rFonts w:cs="Verdana" w:ascii="Verdana" w:hAnsi="Verdana"/>
          <w:sz w:val="20"/>
          <w:szCs w:val="20"/>
        </w:rPr>
        <w:t xml:space="preserve"> Nos casos de apresentação de documentos em original, estes poderão ser substituídos após a entrega dos envelopes no protocolo geral da Prefeitura, desde que o representante da licitante providencie cópias destes documentos, antes do encerramento da sessão do Pregão, sob pena de permanência dos documentos originais arquivados no processo.</w:t>
      </w:r>
    </w:p>
    <w:p>
      <w:pPr>
        <w:pStyle w:val="Normal"/>
        <w:tabs>
          <w:tab w:val="clear" w:pos="709"/>
          <w:tab w:val="left" w:pos="0" w:leader="none"/>
        </w:tabs>
        <w:spacing w:lineRule="auto" w:line="276"/>
        <w:jc w:val="both"/>
        <w:rPr>
          <w:rFonts w:ascii="Verdana" w:hAnsi="Verdana" w:cs="Verdana"/>
          <w:b/>
          <w:sz w:val="20"/>
          <w:szCs w:val="20"/>
        </w:rPr>
      </w:pPr>
      <w:r>
        <w:rPr>
          <w:rFonts w:cs="Verdana" w:ascii="Verdana" w:hAnsi="Verdana"/>
          <w:b/>
          <w:sz w:val="20"/>
          <w:szCs w:val="20"/>
        </w:rPr>
        <w:t xml:space="preserve">b) </w:t>
      </w:r>
      <w:r>
        <w:rPr>
          <w:rFonts w:cs="Verdana" w:ascii="Verdana" w:hAnsi="Verdana"/>
          <w:sz w:val="20"/>
          <w:szCs w:val="20"/>
        </w:rPr>
        <w:t>Caso a licitante apresente qualquer documento no seu envelope documentação através de cópias reprográficas, estas poderão estar autenticadas, antes da apresentação destes envelopes no protocolo geral da Prefeitura, como também poderão ser autenticadas no momento da sessão do Pregão, desde que sejam apresentadas as vias originais.</w:t>
      </w:r>
    </w:p>
    <w:p>
      <w:pPr>
        <w:pStyle w:val="Normal"/>
        <w:tabs>
          <w:tab w:val="clear" w:pos="709"/>
          <w:tab w:val="left" w:pos="0" w:leader="none"/>
        </w:tabs>
        <w:spacing w:lineRule="auto" w:line="276"/>
        <w:jc w:val="both"/>
        <w:rPr>
          <w:rFonts w:ascii="Verdana" w:hAnsi="Verdana" w:cs="Verdana"/>
          <w:b/>
          <w:sz w:val="20"/>
          <w:szCs w:val="20"/>
        </w:rPr>
      </w:pPr>
      <w:r>
        <w:rPr>
          <w:rFonts w:cs="Verdana" w:ascii="Verdana" w:hAnsi="Verdana"/>
          <w:b/>
          <w:sz w:val="20"/>
          <w:szCs w:val="20"/>
        </w:rPr>
        <w:t xml:space="preserve">c) </w:t>
      </w:r>
      <w:r>
        <w:rPr>
          <w:rFonts w:cs="Verdana" w:ascii="Verdana" w:hAnsi="Verdana"/>
          <w:sz w:val="20"/>
          <w:szCs w:val="20"/>
        </w:rPr>
        <w:t>Documentos sujeitos a vencimento deverão estar dentro de sua data de validade no o dia da realização da presente licitação</w:t>
      </w:r>
      <w:r>
        <w:rPr>
          <w:rFonts w:cs="Verdana" w:ascii="Verdana" w:hAnsi="Verdana"/>
          <w:b/>
          <w:sz w:val="20"/>
          <w:szCs w:val="20"/>
        </w:rPr>
        <w:t xml:space="preserve"> </w:t>
      </w:r>
      <w:r>
        <w:rPr>
          <w:rFonts w:cs="Verdana" w:ascii="Verdana" w:hAnsi="Verdana"/>
          <w:sz w:val="20"/>
          <w:szCs w:val="20"/>
        </w:rPr>
        <w:t>sob pena de sua inabilitação ou desclassificação.</w:t>
      </w:r>
    </w:p>
    <w:p>
      <w:pPr>
        <w:pStyle w:val="Normal"/>
        <w:tabs>
          <w:tab w:val="clear" w:pos="709"/>
          <w:tab w:val="left" w:pos="0" w:leader="none"/>
        </w:tabs>
        <w:spacing w:lineRule="auto" w:line="276"/>
        <w:jc w:val="both"/>
        <w:rPr>
          <w:rFonts w:ascii="Verdana" w:hAnsi="Verdana" w:eastAsia="Batang;바탕" w:cs="Verdana"/>
          <w:b/>
          <w:bCs/>
          <w:sz w:val="20"/>
          <w:szCs w:val="20"/>
          <w:u w:val="single"/>
        </w:rPr>
      </w:pPr>
      <w:r>
        <w:rPr>
          <w:rFonts w:cs="Verdana" w:ascii="Verdana" w:hAnsi="Verdana"/>
          <w:b/>
          <w:sz w:val="20"/>
          <w:szCs w:val="20"/>
        </w:rPr>
        <w:t>d)</w:t>
      </w:r>
      <w:r>
        <w:rPr>
          <w:rFonts w:cs="Verdana" w:ascii="Verdana" w:hAnsi="Verdana"/>
          <w:sz w:val="20"/>
          <w:szCs w:val="20"/>
        </w:rPr>
        <w:t xml:space="preserve"> </w:t>
      </w:r>
      <w:r>
        <w:rPr>
          <w:rFonts w:eastAsia="Batang;바탕" w:cs="Verdana" w:ascii="Verdana" w:hAnsi="Verdana"/>
          <w:sz w:val="20"/>
          <w:szCs w:val="20"/>
        </w:rPr>
        <w:t>O Pregoeiro, durante a análise do envelope de Habilitação, poderá proceder com a validação das certidões nos respectivos “</w:t>
      </w:r>
      <w:r>
        <w:rPr>
          <w:rFonts w:eastAsia="Batang;바탕" w:cs="Verdana" w:ascii="Verdana" w:hAnsi="Verdana"/>
          <w:b/>
          <w:bCs/>
          <w:sz w:val="20"/>
          <w:szCs w:val="20"/>
          <w:u w:val="single"/>
        </w:rPr>
        <w:t>sítios”</w:t>
      </w:r>
      <w:r>
        <w:rPr>
          <w:rFonts w:eastAsia="Batang;바탕" w:cs="Verdana" w:ascii="Verdana" w:hAnsi="Verdana"/>
          <w:sz w:val="20"/>
          <w:szCs w:val="20"/>
        </w:rPr>
        <w:t xml:space="preserve"> dos órgãos oficiais (Receita Federal, PGFN, Caixa Econômica Federal, Previdência Social, Secretarias da Fazenda) emissores das certidões apresentadas, ou até mesmo, por sua conveniência, verificar a autenticidade de eventuais cópias sem autenticações, apresentadas junto a documentação da empresa.</w:t>
      </w:r>
    </w:p>
    <w:p>
      <w:pPr>
        <w:pStyle w:val="Normal"/>
        <w:tabs>
          <w:tab w:val="clear" w:pos="709"/>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center"/>
        <w:rPr>
          <w:rFonts w:ascii="Verdana" w:hAnsi="Verdana" w:eastAsia="Batang;바탕" w:cs="Verdana"/>
          <w:b/>
          <w:bCs/>
          <w:sz w:val="20"/>
          <w:szCs w:val="20"/>
          <w:u w:val="single"/>
        </w:rPr>
      </w:pPr>
      <w:r>
        <w:rPr>
          <w:rFonts w:eastAsia="Batang;바탕" w:cs="Verdana" w:ascii="Verdana" w:hAnsi="Verdana"/>
          <w:b/>
          <w:bCs/>
          <w:sz w:val="20"/>
          <w:szCs w:val="20"/>
          <w:u w:val="single"/>
        </w:rPr>
      </w:r>
    </w:p>
    <w:p>
      <w:pPr>
        <w:pStyle w:val="Normal"/>
        <w:tabs>
          <w:tab w:val="clear" w:pos="709"/>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center"/>
        <w:rPr>
          <w:rFonts w:ascii="Verdana" w:hAnsi="Verdana" w:eastAsia="Batang;바탕" w:cs="Verdana"/>
          <w:b/>
          <w:sz w:val="20"/>
          <w:szCs w:val="20"/>
        </w:rPr>
      </w:pPr>
      <w:r>
        <w:rPr>
          <w:rFonts w:eastAsia="Batang;바탕" w:cs="Verdana" w:ascii="Verdana" w:hAnsi="Verdana"/>
          <w:b/>
          <w:sz w:val="20"/>
          <w:szCs w:val="20"/>
          <w:u w:val="single"/>
        </w:rPr>
        <w:t>XI – PROCEDIMENTO DA SESSÃO E JULGAMENTO</w:t>
      </w:r>
    </w:p>
    <w:p>
      <w:pPr>
        <w:pStyle w:val="Normal"/>
        <w:tabs>
          <w:tab w:val="clear" w:pos="709"/>
          <w:tab w:val="left" w:pos="-414" w:leader="none"/>
          <w:tab w:val="left" w:pos="306" w:leader="none"/>
          <w:tab w:val="left" w:pos="714"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sz w:val="20"/>
          <w:szCs w:val="20"/>
        </w:rPr>
      </w:pPr>
      <w:r>
        <w:rPr>
          <w:rFonts w:eastAsia="Batang;바탕" w:cs="Verdana" w:ascii="Verdana" w:hAnsi="Verdana"/>
          <w:b/>
          <w:sz w:val="20"/>
          <w:szCs w:val="20"/>
        </w:rPr>
        <w:t>11.1</w:t>
      </w:r>
      <w:r>
        <w:rPr>
          <w:rFonts w:eastAsia="Batang;바탕" w:cs="Verdana" w:ascii="Verdana" w:hAnsi="Verdana"/>
          <w:sz w:val="20"/>
          <w:szCs w:val="20"/>
        </w:rPr>
        <w:t xml:space="preserve"> </w:t>
      </w:r>
      <w:r>
        <w:rPr>
          <w:rFonts w:eastAsia="Batang;바탕" w:cs="Verdana" w:ascii="Verdana" w:hAnsi="Verdana"/>
          <w:b/>
          <w:sz w:val="20"/>
          <w:szCs w:val="20"/>
        </w:rPr>
        <w:t>–</w:t>
      </w:r>
      <w:r>
        <w:rPr>
          <w:rFonts w:eastAsia="Batang;바탕" w:cs="Verdana" w:ascii="Verdana" w:hAnsi="Verdana"/>
          <w:sz w:val="20"/>
          <w:szCs w:val="20"/>
        </w:rPr>
        <w:t xml:space="preserve"> Declarada aberta à sessão pelo Pregoeiro, somente serão admitidas as licitantes que apresentaram os seus envelopes nos termos do capítulo IV deste edital, não sendo admitidos proponentes retardatários.</w:t>
      </w:r>
    </w:p>
    <w:p>
      <w:pPr>
        <w:pStyle w:val="Corpodetexto22"/>
        <w:tabs>
          <w:tab w:val="clear" w:pos="851"/>
          <w:tab w:val="left" w:pos="-414" w:leader="none"/>
          <w:tab w:val="left" w:pos="306" w:leader="none"/>
          <w:tab w:val="left" w:pos="714"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rPr>
          <w:rFonts w:ascii="Verdana" w:hAnsi="Verdana" w:eastAsia="Batang;바탕" w:cs="Verdana"/>
          <w:sz w:val="20"/>
          <w:szCs w:val="20"/>
        </w:rPr>
      </w:pPr>
      <w:r>
        <w:rPr>
          <w:rFonts w:eastAsia="Batang;바탕" w:cs="Verdana" w:ascii="Verdana" w:hAnsi="Verdana"/>
          <w:sz w:val="20"/>
          <w:szCs w:val="20"/>
        </w:rPr>
        <w:t>11.2</w:t>
      </w:r>
      <w:r>
        <w:rPr>
          <w:rFonts w:eastAsia="Batang;바탕" w:cs="Verdana" w:ascii="Verdana" w:hAnsi="Verdana"/>
          <w:b w:val="false"/>
          <w:sz w:val="20"/>
          <w:szCs w:val="20"/>
        </w:rPr>
        <w:t xml:space="preserve"> </w:t>
      </w:r>
      <w:r>
        <w:rPr>
          <w:rFonts w:eastAsia="Batang;바탕" w:cs="Verdana" w:ascii="Verdana" w:hAnsi="Verdana"/>
          <w:sz w:val="20"/>
          <w:szCs w:val="20"/>
        </w:rPr>
        <w:t>–</w:t>
      </w:r>
      <w:r>
        <w:rPr>
          <w:rFonts w:eastAsia="Batang;바탕" w:cs="Verdana" w:ascii="Verdana" w:hAnsi="Verdana"/>
          <w:b w:val="false"/>
          <w:sz w:val="20"/>
          <w:szCs w:val="20"/>
        </w:rPr>
        <w:t xml:space="preserve"> Depois de aberta a sessão, os interessados ou seus representantes, deverão apresentar declaração </w:t>
      </w:r>
      <w:r>
        <w:rPr>
          <w:rFonts w:eastAsia="Batang;바탕" w:cs="Verdana" w:ascii="Verdana" w:hAnsi="Verdana"/>
          <w:sz w:val="20"/>
          <w:szCs w:val="20"/>
        </w:rPr>
        <w:t>(ANEXO II)</w:t>
      </w:r>
      <w:r>
        <w:rPr>
          <w:rFonts w:eastAsia="Batang;바탕" w:cs="Verdana" w:ascii="Verdana" w:hAnsi="Verdana"/>
          <w:b w:val="false"/>
          <w:sz w:val="20"/>
          <w:szCs w:val="20"/>
        </w:rPr>
        <w:t xml:space="preserve"> dando ciência de que cumprem plenamente os requisitos de habilitação, tão quanto </w:t>
      </w:r>
      <w:r>
        <w:rPr>
          <w:rFonts w:cs="Verdana" w:ascii="Verdana" w:hAnsi="Verdana"/>
          <w:b w:val="false"/>
          <w:sz w:val="20"/>
          <w:szCs w:val="20"/>
        </w:rPr>
        <w:t>o ato constitutivo da empresa e suas atualizações.</w:t>
      </w:r>
    </w:p>
    <w:p>
      <w:pPr>
        <w:pStyle w:val="Corpodetexto22"/>
        <w:tabs>
          <w:tab w:val="clear" w:pos="851"/>
          <w:tab w:val="left" w:pos="-414" w:leader="none"/>
          <w:tab w:val="left" w:pos="306" w:leader="none"/>
          <w:tab w:val="left" w:pos="714"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rPr>
          <w:rFonts w:ascii="Verdana" w:hAnsi="Verdana" w:eastAsia="Batang;바탕" w:cs="Verdana"/>
          <w:spacing w:val="-3"/>
          <w:sz w:val="20"/>
          <w:szCs w:val="20"/>
        </w:rPr>
      </w:pPr>
      <w:r>
        <w:rPr>
          <w:rFonts w:eastAsia="Batang;바탕" w:cs="Verdana" w:ascii="Verdana" w:hAnsi="Verdana"/>
          <w:sz w:val="20"/>
          <w:szCs w:val="20"/>
        </w:rPr>
        <w:t>11.3</w:t>
      </w:r>
      <w:r>
        <w:rPr>
          <w:rFonts w:eastAsia="Batang;바탕" w:cs="Verdana" w:ascii="Verdana" w:hAnsi="Verdana"/>
          <w:b w:val="false"/>
          <w:sz w:val="20"/>
          <w:szCs w:val="20"/>
        </w:rPr>
        <w:t xml:space="preserve"> </w:t>
      </w:r>
      <w:r>
        <w:rPr>
          <w:rFonts w:eastAsia="Batang;바탕" w:cs="Verdana" w:ascii="Verdana" w:hAnsi="Verdana"/>
          <w:sz w:val="20"/>
          <w:szCs w:val="20"/>
        </w:rPr>
        <w:t>–</w:t>
      </w:r>
      <w:r>
        <w:rPr>
          <w:rFonts w:eastAsia="Batang;바탕" w:cs="Verdana" w:ascii="Verdana" w:hAnsi="Verdana"/>
          <w:b w:val="false"/>
          <w:sz w:val="20"/>
          <w:szCs w:val="20"/>
        </w:rPr>
        <w:t xml:space="preserve"> Logo após o Pregoeiro procederá a abertura do Envelope nº 001 – PROPOSTA, julgando-as e classificando-as, </w:t>
      </w:r>
      <w:r>
        <w:rPr>
          <w:rFonts w:eastAsia="Batang;바탕" w:cs="Verdana" w:ascii="Verdana" w:hAnsi="Verdana"/>
          <w:sz w:val="20"/>
          <w:szCs w:val="20"/>
        </w:rPr>
        <w:t>MENOR PREÇO POR ITEM</w:t>
      </w:r>
      <w:r>
        <w:rPr>
          <w:rFonts w:eastAsia="Batang;바탕" w:cs="Verdana" w:ascii="Verdana" w:hAnsi="Verdana"/>
          <w:b w:val="false"/>
          <w:sz w:val="20"/>
          <w:szCs w:val="20"/>
        </w:rPr>
        <w:t xml:space="preserve">, considerando para tanto as disposições da Lei nº 10.520/02, principalmente as previstas no </w:t>
      </w:r>
      <w:r>
        <w:rPr>
          <w:rFonts w:eastAsia="Batang;바탕" w:cs="Verdana" w:ascii="Verdana" w:hAnsi="Verdana"/>
          <w:b w:val="false"/>
          <w:spacing w:val="-3"/>
          <w:sz w:val="20"/>
          <w:szCs w:val="20"/>
        </w:rPr>
        <w:t>art. 4º, VIII, IX e X.</w:t>
      </w:r>
    </w:p>
    <w:p>
      <w:pPr>
        <w:pStyle w:val="Corpodetexto22"/>
        <w:tabs>
          <w:tab w:val="clear" w:pos="851"/>
          <w:tab w:val="left" w:pos="-414" w:leader="none"/>
          <w:tab w:val="left" w:pos="306" w:leader="none"/>
          <w:tab w:val="left" w:pos="714"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rPr>
          <w:rFonts w:ascii="Verdana" w:hAnsi="Verdana" w:eastAsia="Batang;바탕" w:cs="Verdana"/>
          <w:sz w:val="20"/>
          <w:szCs w:val="20"/>
        </w:rPr>
      </w:pPr>
      <w:r>
        <w:rPr>
          <w:rFonts w:eastAsia="Batang;바탕" w:cs="Verdana" w:ascii="Verdana" w:hAnsi="Verdana"/>
          <w:spacing w:val="-3"/>
          <w:sz w:val="20"/>
          <w:szCs w:val="20"/>
        </w:rPr>
        <w:t>11.4</w:t>
      </w:r>
      <w:r>
        <w:rPr>
          <w:rFonts w:eastAsia="Batang;바탕" w:cs="Verdana" w:ascii="Verdana" w:hAnsi="Verdana"/>
          <w:b w:val="false"/>
          <w:spacing w:val="-3"/>
          <w:sz w:val="20"/>
          <w:szCs w:val="20"/>
        </w:rPr>
        <w:t xml:space="preserve"> </w:t>
      </w:r>
      <w:r>
        <w:rPr>
          <w:rFonts w:eastAsia="Batang;바탕" w:cs="Verdana" w:ascii="Verdana" w:hAnsi="Verdana"/>
          <w:spacing w:val="-3"/>
          <w:sz w:val="20"/>
          <w:szCs w:val="20"/>
        </w:rPr>
        <w:t>–</w:t>
      </w:r>
      <w:r>
        <w:rPr>
          <w:rFonts w:eastAsia="Batang;바탕" w:cs="Verdana" w:ascii="Verdana" w:hAnsi="Verdana"/>
          <w:b w:val="false"/>
          <w:spacing w:val="-3"/>
          <w:sz w:val="20"/>
          <w:szCs w:val="20"/>
        </w:rPr>
        <w:t xml:space="preserve"> Serão desclassificadas as propostas formuladas em desacordo com o exigido neste edital.</w:t>
      </w:r>
    </w:p>
    <w:p>
      <w:pPr>
        <w:pStyle w:val="Corpodetexto22"/>
        <w:tabs>
          <w:tab w:val="clear" w:pos="851"/>
          <w:tab w:val="left" w:pos="-414" w:leader="none"/>
          <w:tab w:val="left" w:pos="306" w:leader="none"/>
          <w:tab w:val="left" w:pos="714"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rPr>
          <w:rFonts w:ascii="Verdana" w:hAnsi="Verdana" w:eastAsia="Batang;바탕" w:cs="Verdana"/>
          <w:spacing w:val="-3"/>
          <w:sz w:val="20"/>
          <w:szCs w:val="20"/>
        </w:rPr>
      </w:pPr>
      <w:r>
        <w:rPr>
          <w:rFonts w:eastAsia="Batang;바탕" w:cs="Verdana" w:ascii="Verdana" w:hAnsi="Verdana"/>
          <w:sz w:val="20"/>
          <w:szCs w:val="20"/>
        </w:rPr>
        <w:t>11.5</w:t>
      </w:r>
      <w:r>
        <w:rPr>
          <w:rFonts w:eastAsia="Batang;바탕" w:cs="Verdana" w:ascii="Verdana" w:hAnsi="Verdana"/>
          <w:b w:val="false"/>
          <w:sz w:val="20"/>
          <w:szCs w:val="20"/>
        </w:rPr>
        <w:t xml:space="preserve"> </w:t>
      </w:r>
      <w:r>
        <w:rPr>
          <w:rFonts w:eastAsia="Batang;바탕" w:cs="Verdana" w:ascii="Verdana" w:hAnsi="Verdana"/>
          <w:sz w:val="20"/>
          <w:szCs w:val="20"/>
        </w:rPr>
        <w:t>–</w:t>
      </w:r>
      <w:r>
        <w:rPr>
          <w:rFonts w:eastAsia="Batang;바탕" w:cs="Verdana" w:ascii="Verdana" w:hAnsi="Verdana"/>
          <w:b w:val="false"/>
          <w:sz w:val="20"/>
          <w:szCs w:val="20"/>
        </w:rPr>
        <w:t xml:space="preserve"> Será avaliada para fins de classificação da proposta a especificação do item cotado pela empresa, bem como o formalismo exigido no capítulo, </w:t>
      </w:r>
      <w:r>
        <w:rPr>
          <w:rFonts w:eastAsia="Batang;바탕" w:cs="Verdana" w:ascii="Verdana" w:hAnsi="Verdana"/>
          <w:b w:val="false"/>
          <w:sz w:val="20"/>
          <w:szCs w:val="20"/>
          <w:u w:val="single"/>
        </w:rPr>
        <w:t>IX – DA PROPOSTA.</w:t>
      </w:r>
    </w:p>
    <w:p>
      <w:pPr>
        <w:pStyle w:val="Corpodetexto22"/>
        <w:tabs>
          <w:tab w:val="clear" w:pos="851"/>
          <w:tab w:val="left" w:pos="-414" w:leader="none"/>
          <w:tab w:val="left" w:pos="306" w:leader="none"/>
          <w:tab w:val="left" w:pos="714"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rPr>
          <w:rFonts w:ascii="Verdana" w:hAnsi="Verdana" w:eastAsia="Batang;바탕" w:cs="Verdana"/>
          <w:spacing w:val="-3"/>
          <w:sz w:val="20"/>
          <w:szCs w:val="20"/>
        </w:rPr>
      </w:pPr>
      <w:r>
        <w:rPr>
          <w:rFonts w:eastAsia="Batang;바탕" w:cs="Verdana" w:ascii="Verdana" w:hAnsi="Verdana"/>
          <w:spacing w:val="-3"/>
          <w:sz w:val="20"/>
          <w:szCs w:val="20"/>
        </w:rPr>
        <w:t>11.6</w:t>
      </w:r>
      <w:r>
        <w:rPr>
          <w:rFonts w:eastAsia="Batang;바탕" w:cs="Verdana" w:ascii="Verdana" w:hAnsi="Verdana"/>
          <w:b w:val="false"/>
          <w:spacing w:val="-3"/>
          <w:sz w:val="20"/>
          <w:szCs w:val="20"/>
        </w:rPr>
        <w:t xml:space="preserve"> </w:t>
      </w:r>
      <w:r>
        <w:rPr>
          <w:rFonts w:eastAsia="Batang;바탕" w:cs="Verdana" w:ascii="Verdana" w:hAnsi="Verdana"/>
          <w:spacing w:val="-3"/>
          <w:sz w:val="20"/>
          <w:szCs w:val="20"/>
        </w:rPr>
        <w:t>–</w:t>
      </w:r>
      <w:r>
        <w:rPr>
          <w:rFonts w:eastAsia="Batang;바탕" w:cs="Verdana" w:ascii="Verdana" w:hAnsi="Verdana"/>
          <w:b w:val="false"/>
          <w:spacing w:val="-3"/>
          <w:sz w:val="20"/>
          <w:szCs w:val="20"/>
        </w:rPr>
        <w:t xml:space="preserve"> Uma vez classificada as propostas o Pregoeiro convidará individualmente os licitantes classificados, de forma sequencial, a apresentar lances verbais, a partir do autor da proposta classificada de maior preço e os demais, em ordem decrescente de valor.</w:t>
      </w:r>
    </w:p>
    <w:p>
      <w:pPr>
        <w:pStyle w:val="Corpodetexto22"/>
        <w:tabs>
          <w:tab w:val="clear" w:pos="851"/>
          <w:tab w:val="left" w:pos="-414" w:leader="none"/>
          <w:tab w:val="left" w:pos="306" w:leader="none"/>
          <w:tab w:val="left" w:pos="714"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rPr>
          <w:rFonts w:ascii="Verdana" w:hAnsi="Verdana" w:eastAsia="Batang;바탕" w:cs="Verdana"/>
          <w:spacing w:val="-3"/>
          <w:sz w:val="20"/>
          <w:szCs w:val="20"/>
          <w:lang w:eastAsia="pt-BR"/>
        </w:rPr>
      </w:pPr>
      <w:r>
        <w:rPr>
          <w:rFonts w:eastAsia="Batang;바탕" w:cs="Verdana" w:ascii="Verdana" w:hAnsi="Verdana"/>
          <w:spacing w:val="-3"/>
          <w:sz w:val="20"/>
          <w:szCs w:val="20"/>
        </w:rPr>
        <w:t>11.7</w:t>
      </w:r>
      <w:r>
        <w:rPr>
          <w:rFonts w:eastAsia="Batang;바탕" w:cs="Verdana" w:ascii="Verdana" w:hAnsi="Verdana"/>
          <w:b w:val="false"/>
          <w:spacing w:val="-3"/>
          <w:sz w:val="20"/>
          <w:szCs w:val="20"/>
        </w:rPr>
        <w:t xml:space="preserve"> </w:t>
      </w:r>
      <w:r>
        <w:rPr>
          <w:rFonts w:eastAsia="Batang;바탕" w:cs="Verdana" w:ascii="Verdana" w:hAnsi="Verdana"/>
          <w:spacing w:val="-3"/>
          <w:sz w:val="20"/>
          <w:szCs w:val="20"/>
        </w:rPr>
        <w:t>–</w:t>
      </w:r>
      <w:r>
        <w:rPr>
          <w:rFonts w:eastAsia="Batang;바탕" w:cs="Verdana" w:ascii="Verdana" w:hAnsi="Verdana"/>
          <w:b w:val="false"/>
          <w:spacing w:val="-3"/>
          <w:sz w:val="20"/>
          <w:szCs w:val="20"/>
        </w:rPr>
        <w:t xml:space="preserve"> Os valores dos lances deverão ser decrescentes e distintos.</w:t>
      </w:r>
    </w:p>
    <w:p>
      <w:pPr>
        <w:pStyle w:val="Corpodetexto22"/>
        <w:tabs>
          <w:tab w:val="left" w:pos="-414" w:leader="none"/>
          <w:tab w:val="left" w:pos="306" w:leader="none"/>
          <w:tab w:val="left" w:pos="714" w:leader="none"/>
          <w:tab w:val="left" w:pos="851"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rPr>
          <w:rFonts w:ascii="Verdana" w:hAnsi="Verdana" w:eastAsia="Batang;바탕" w:cs="Verdana"/>
          <w:spacing w:val="-3"/>
          <w:sz w:val="20"/>
          <w:szCs w:val="20"/>
        </w:rPr>
      </w:pPr>
      <w:r>
        <w:rPr>
          <w:rFonts w:eastAsia="Batang;바탕" w:cs="Verdana" w:ascii="Verdana" w:hAnsi="Verdana"/>
          <w:spacing w:val="-3"/>
          <w:sz w:val="20"/>
          <w:szCs w:val="20"/>
          <w:lang w:eastAsia="pt-BR"/>
        </w:rPr>
        <w:t>11.8</w:t>
      </w:r>
      <w:r>
        <w:rPr>
          <w:rFonts w:eastAsia="Batang;바탕" w:cs="Verdana" w:ascii="Verdana" w:hAnsi="Verdana"/>
          <w:b w:val="false"/>
          <w:spacing w:val="-3"/>
          <w:sz w:val="20"/>
          <w:szCs w:val="20"/>
          <w:lang w:eastAsia="pt-BR"/>
        </w:rPr>
        <w:t xml:space="preserve"> </w:t>
      </w:r>
      <w:r>
        <w:rPr>
          <w:rFonts w:eastAsia="Batang;바탕" w:cs="Verdana" w:ascii="Verdana" w:hAnsi="Verdana"/>
          <w:spacing w:val="-3"/>
          <w:sz w:val="20"/>
          <w:szCs w:val="20"/>
          <w:lang w:eastAsia="pt-BR"/>
        </w:rPr>
        <w:t>–</w:t>
      </w:r>
      <w:r>
        <w:rPr>
          <w:rFonts w:eastAsia="Batang;바탕" w:cs="Verdana" w:ascii="Verdana" w:hAnsi="Verdana"/>
          <w:b w:val="false"/>
          <w:spacing w:val="-3"/>
          <w:sz w:val="20"/>
          <w:szCs w:val="20"/>
          <w:lang w:eastAsia="pt-BR"/>
        </w:rPr>
        <w:t xml:space="preserve"> A desistência em apresentar lance verbal, quando convidado pelo Pregoeiro, implicará a exclusão do licitante da etapa de lances verbais e na manutenção do último preço apresentado pelo licitante, para efeito de ordenação das propostas</w:t>
      </w:r>
      <w:r>
        <w:rPr>
          <w:rFonts w:eastAsia="Batang;바탕" w:cs="Verdana" w:ascii="Verdana" w:hAnsi="Verdana"/>
          <w:b w:val="false"/>
          <w:spacing w:val="-3"/>
          <w:sz w:val="20"/>
          <w:szCs w:val="20"/>
        </w:rPr>
        <w:t xml:space="preserve">, </w:t>
      </w:r>
      <w:r>
        <w:rPr>
          <w:rFonts w:eastAsia="Batang;바탕" w:cs="Verdana" w:ascii="Verdana" w:hAnsi="Verdana"/>
          <w:b w:val="false"/>
          <w:spacing w:val="-3"/>
          <w:sz w:val="20"/>
          <w:szCs w:val="20"/>
          <w:lang w:eastAsia="pt-BR"/>
        </w:rPr>
        <w:t>salvo nos casos de Micro Empresas ou Empresas de Pequeno Porte amparadas pela Lei Federal Complementar 123/06</w:t>
      </w:r>
      <w:r>
        <w:rPr>
          <w:rFonts w:eastAsia="Batang;바탕" w:cs="Verdana" w:ascii="Verdana" w:hAnsi="Verdana"/>
          <w:b w:val="false"/>
          <w:spacing w:val="-3"/>
          <w:sz w:val="20"/>
          <w:szCs w:val="20"/>
        </w:rPr>
        <w:t>, consolidada, quando ocorrerem os empates “fictos”.</w:t>
      </w:r>
    </w:p>
    <w:p>
      <w:pPr>
        <w:pStyle w:val="Normal"/>
        <w:spacing w:lineRule="auto" w:line="276"/>
        <w:jc w:val="both"/>
        <w:rPr>
          <w:rFonts w:ascii="Verdana" w:hAnsi="Verdana" w:eastAsia="Calibri" w:cs="Verdana"/>
          <w:b/>
          <w:sz w:val="20"/>
          <w:szCs w:val="20"/>
        </w:rPr>
      </w:pPr>
      <w:r>
        <w:rPr>
          <w:rFonts w:eastAsia="Batang;바탕" w:cs="Verdana" w:ascii="Verdana" w:hAnsi="Verdana"/>
          <w:b/>
          <w:spacing w:val="-3"/>
          <w:sz w:val="20"/>
          <w:szCs w:val="20"/>
        </w:rPr>
        <w:t>11.8.1</w:t>
      </w:r>
      <w:r>
        <w:rPr>
          <w:rFonts w:eastAsia="Batang;바탕" w:cs="Verdana" w:ascii="Verdana" w:hAnsi="Verdana"/>
          <w:spacing w:val="-3"/>
          <w:sz w:val="20"/>
          <w:szCs w:val="20"/>
        </w:rPr>
        <w:t xml:space="preserve"> </w:t>
      </w:r>
      <w:r>
        <w:rPr>
          <w:rFonts w:eastAsia="Batang;바탕" w:cs="Verdana" w:ascii="Verdana" w:hAnsi="Verdana"/>
          <w:b/>
          <w:spacing w:val="-3"/>
          <w:sz w:val="20"/>
          <w:szCs w:val="20"/>
        </w:rPr>
        <w:t>–</w:t>
      </w:r>
      <w:r>
        <w:rPr>
          <w:rFonts w:eastAsia="Batang;바탕" w:cs="Verdana" w:ascii="Verdana" w:hAnsi="Verdana"/>
          <w:spacing w:val="-3"/>
          <w:sz w:val="20"/>
          <w:szCs w:val="20"/>
        </w:rPr>
        <w:t xml:space="preserve"> Nos pregões, e</w:t>
      </w:r>
      <w:r>
        <w:rPr>
          <w:rFonts w:eastAsia="Calibri" w:cs="Verdana" w:ascii="Verdana" w:hAnsi="Verdana"/>
          <w:sz w:val="20"/>
          <w:szCs w:val="20"/>
        </w:rPr>
        <w:t>ntende-se por empate “ficto”, aquelas situações em que as propostas apresentadas pelas microempresas e empresas de pequeno porte contemplem valores iguais ou superiores a primeira proposta classificada em até 5% (cinco por cento).</w:t>
      </w:r>
    </w:p>
    <w:p>
      <w:pPr>
        <w:pStyle w:val="Normal"/>
        <w:spacing w:lineRule="auto" w:line="276"/>
        <w:jc w:val="both"/>
        <w:rPr>
          <w:rFonts w:ascii="Verdana" w:hAnsi="Verdana" w:eastAsia="Calibri" w:cs="Verdana"/>
          <w:b/>
          <w:sz w:val="20"/>
          <w:szCs w:val="20"/>
        </w:rPr>
      </w:pPr>
      <w:r>
        <w:rPr>
          <w:rFonts w:eastAsia="Calibri" w:cs="Verdana" w:ascii="Verdana" w:hAnsi="Verdana"/>
          <w:b/>
          <w:sz w:val="20"/>
          <w:szCs w:val="20"/>
        </w:rPr>
        <w:t>a)</w:t>
      </w:r>
      <w:r>
        <w:rPr>
          <w:rFonts w:eastAsia="Calibri" w:cs="Verdana" w:ascii="Verdana" w:hAnsi="Verdana"/>
          <w:sz w:val="20"/>
          <w:szCs w:val="20"/>
        </w:rPr>
        <w:t xml:space="preserve"> Nas licitações, será assegurada como critério de desempate, preferência as microempresas e empresas de pequeno porte.</w:t>
      </w:r>
    </w:p>
    <w:p>
      <w:pPr>
        <w:pStyle w:val="Normal"/>
        <w:spacing w:lineRule="auto" w:line="276"/>
        <w:jc w:val="both"/>
        <w:rPr>
          <w:rFonts w:ascii="Verdana" w:hAnsi="Verdana" w:eastAsia="Calibri" w:cs="Verdana"/>
          <w:b/>
          <w:sz w:val="20"/>
          <w:szCs w:val="20"/>
        </w:rPr>
      </w:pPr>
      <w:r>
        <w:rPr>
          <w:rFonts w:eastAsia="Calibri" w:cs="Verdana" w:ascii="Verdana" w:hAnsi="Verdana"/>
          <w:b/>
          <w:sz w:val="20"/>
          <w:szCs w:val="20"/>
        </w:rPr>
        <w:t>b)</w:t>
      </w:r>
      <w:r>
        <w:rPr>
          <w:rFonts w:eastAsia="Calibri" w:cs="Verdana" w:ascii="Verdana" w:hAnsi="Verdana"/>
          <w:sz w:val="20"/>
          <w:szCs w:val="20"/>
        </w:rPr>
        <w:t xml:space="preserve"> Para efeito do disposto no art. 44 da Lei Complementar 123/05, consolidada, ocorrendo o empate ficto, proceder-se-á da seguinte forma:</w:t>
      </w:r>
    </w:p>
    <w:p>
      <w:pPr>
        <w:pStyle w:val="Normal"/>
        <w:spacing w:lineRule="auto" w:line="276"/>
        <w:jc w:val="both"/>
        <w:rPr>
          <w:rFonts w:ascii="Verdana" w:hAnsi="Verdana" w:eastAsia="Calibri" w:cs="Verdana"/>
          <w:b/>
          <w:sz w:val="20"/>
          <w:szCs w:val="20"/>
        </w:rPr>
      </w:pPr>
      <w:r>
        <w:rPr>
          <w:rFonts w:eastAsia="Calibri" w:cs="Verdana" w:ascii="Verdana" w:hAnsi="Verdana"/>
          <w:b/>
          <w:sz w:val="20"/>
          <w:szCs w:val="20"/>
        </w:rPr>
        <w:t>I</w:t>
      </w:r>
      <w:r>
        <w:rPr>
          <w:rFonts w:eastAsia="Calibri" w:cs="Verdana" w:ascii="Verdana" w:hAnsi="Verdana"/>
          <w:sz w:val="20"/>
          <w:szCs w:val="20"/>
        </w:rPr>
        <w:t xml:space="preserve"> </w:t>
      </w:r>
      <w:r>
        <w:rPr>
          <w:rFonts w:eastAsia="Calibri" w:cs="Verdana" w:ascii="Verdana" w:hAnsi="Verdana"/>
          <w:b/>
          <w:sz w:val="20"/>
          <w:szCs w:val="20"/>
        </w:rPr>
        <w:t>–</w:t>
      </w:r>
      <w:r>
        <w:rPr>
          <w:rFonts w:eastAsia="Calibri" w:cs="Verdana" w:ascii="Verdana" w:hAnsi="Verdana"/>
          <w:sz w:val="20"/>
          <w:szCs w:val="20"/>
        </w:rPr>
        <w:t xml:space="preserve"> A microempresa ou empresa de pequeno porte mais bem classificada poderá apresentar proposta de preço inferior àquela considerada vencedora do certame, situação em que será adjudicado em seu favor o objeto licitado;</w:t>
      </w:r>
    </w:p>
    <w:p>
      <w:pPr>
        <w:pStyle w:val="Normal"/>
        <w:spacing w:lineRule="auto" w:line="276"/>
        <w:jc w:val="both"/>
        <w:rPr>
          <w:rFonts w:ascii="Verdana" w:hAnsi="Verdana" w:eastAsia="Calibri" w:cs="Verdana"/>
          <w:b/>
          <w:sz w:val="20"/>
          <w:szCs w:val="20"/>
        </w:rPr>
      </w:pPr>
      <w:r>
        <w:rPr>
          <w:rFonts w:eastAsia="Calibri" w:cs="Verdana" w:ascii="Verdana" w:hAnsi="Verdana"/>
          <w:b/>
          <w:sz w:val="20"/>
          <w:szCs w:val="20"/>
        </w:rPr>
        <w:t>II</w:t>
      </w:r>
      <w:r>
        <w:rPr>
          <w:rFonts w:eastAsia="Calibri" w:cs="Verdana" w:ascii="Verdana" w:hAnsi="Verdana"/>
          <w:sz w:val="20"/>
          <w:szCs w:val="20"/>
        </w:rPr>
        <w:t xml:space="preserve"> </w:t>
      </w:r>
      <w:r>
        <w:rPr>
          <w:rFonts w:eastAsia="Calibri" w:cs="Verdana" w:ascii="Verdana" w:hAnsi="Verdana"/>
          <w:b/>
          <w:sz w:val="20"/>
          <w:szCs w:val="20"/>
        </w:rPr>
        <w:t>–</w:t>
      </w:r>
      <w:r>
        <w:rPr>
          <w:rFonts w:eastAsia="Calibri" w:cs="Verdana" w:ascii="Verdana" w:hAnsi="Verdana"/>
          <w:sz w:val="20"/>
          <w:szCs w:val="20"/>
        </w:rPr>
        <w:t xml:space="preserve"> Não ocorrendo a contratação da microempresa ou empresa de pequeno porte, na forma do inciso I do caput deste artigo, serão convocadas as remanescentes que porventura se enquadrem na hipótese dos §§ 1º e 2º do art. 44 desta Lei Complementar, na ordem classificatória, para o exercício do mesmo direito;</w:t>
      </w:r>
    </w:p>
    <w:p>
      <w:pPr>
        <w:pStyle w:val="Normal"/>
        <w:spacing w:lineRule="auto" w:line="276"/>
        <w:jc w:val="both"/>
        <w:rPr>
          <w:rFonts w:ascii="Verdana" w:hAnsi="Verdana" w:eastAsia="Calibri" w:cs="Verdana"/>
          <w:b/>
          <w:sz w:val="20"/>
          <w:szCs w:val="20"/>
        </w:rPr>
      </w:pPr>
      <w:r>
        <w:rPr>
          <w:rFonts w:eastAsia="Calibri" w:cs="Verdana" w:ascii="Verdana" w:hAnsi="Verdana"/>
          <w:b/>
          <w:sz w:val="20"/>
          <w:szCs w:val="20"/>
        </w:rPr>
        <w:t>III –</w:t>
      </w:r>
      <w:r>
        <w:rPr>
          <w:rFonts w:eastAsia="Calibri" w:cs="Verdana" w:ascii="Verdana" w:hAnsi="Verdana"/>
          <w:sz w:val="20"/>
          <w:szCs w:val="20"/>
        </w:rPr>
        <w:t xml:space="preserve"> No caso de equivalência dos valores apresentados pelas microempresas e empresas de pequeno porte que se encontrem nos intervalos estabelecidos nos §§ 1º e 2º do art. 44 desta Lei Complementar, será realizado sorteio entre elas para que se identifique aquela que primeiro poderá apresentar melhor oferta.</w:t>
      </w:r>
    </w:p>
    <w:p>
      <w:pPr>
        <w:pStyle w:val="Normal"/>
        <w:spacing w:lineRule="auto" w:line="276"/>
        <w:jc w:val="both"/>
        <w:rPr>
          <w:rFonts w:ascii="Verdana" w:hAnsi="Verdana" w:eastAsia="Calibri" w:cs="Verdana"/>
          <w:b/>
          <w:sz w:val="20"/>
          <w:szCs w:val="20"/>
        </w:rPr>
      </w:pPr>
      <w:r>
        <w:rPr>
          <w:rFonts w:eastAsia="Calibri" w:cs="Verdana" w:ascii="Verdana" w:hAnsi="Verdana"/>
          <w:b/>
          <w:sz w:val="20"/>
          <w:szCs w:val="20"/>
        </w:rPr>
        <w:t>IV</w:t>
      </w:r>
      <w:r>
        <w:rPr>
          <w:rFonts w:eastAsia="Calibri" w:cs="Verdana" w:ascii="Verdana" w:hAnsi="Verdana"/>
          <w:sz w:val="20"/>
          <w:szCs w:val="20"/>
        </w:rPr>
        <w:t xml:space="preserve"> </w:t>
      </w:r>
      <w:r>
        <w:rPr>
          <w:rFonts w:eastAsia="Calibri" w:cs="Verdana" w:ascii="Verdana" w:hAnsi="Verdana"/>
          <w:b/>
          <w:sz w:val="20"/>
          <w:szCs w:val="20"/>
        </w:rPr>
        <w:t>–</w:t>
      </w:r>
      <w:r>
        <w:rPr>
          <w:rFonts w:eastAsia="Calibri" w:cs="Verdana" w:ascii="Verdana" w:hAnsi="Verdana"/>
          <w:sz w:val="20"/>
          <w:szCs w:val="20"/>
        </w:rPr>
        <w:t xml:space="preserve"> Na hipótese da não-contratação nos termos previstos no caput deste artigo, o objeto licitado será adjudicado em favor da proposta originalmente vencedora do certame.</w:t>
      </w:r>
    </w:p>
    <w:p>
      <w:pPr>
        <w:pStyle w:val="Normal"/>
        <w:spacing w:lineRule="auto" w:line="276"/>
        <w:jc w:val="both"/>
        <w:rPr>
          <w:rFonts w:ascii="Verdana" w:hAnsi="Verdana" w:eastAsia="Calibri" w:cs="Verdana"/>
          <w:b/>
          <w:sz w:val="20"/>
          <w:szCs w:val="20"/>
        </w:rPr>
      </w:pPr>
      <w:r>
        <w:rPr>
          <w:rFonts w:eastAsia="Calibri" w:cs="Verdana" w:ascii="Verdana" w:hAnsi="Verdana"/>
          <w:b/>
          <w:sz w:val="20"/>
          <w:szCs w:val="20"/>
        </w:rPr>
        <w:t>V</w:t>
      </w:r>
      <w:r>
        <w:rPr>
          <w:rFonts w:eastAsia="Calibri" w:cs="Verdana" w:ascii="Verdana" w:hAnsi="Verdana"/>
          <w:sz w:val="20"/>
          <w:szCs w:val="20"/>
        </w:rPr>
        <w:t xml:space="preserve"> </w:t>
      </w:r>
      <w:r>
        <w:rPr>
          <w:rFonts w:eastAsia="Calibri" w:cs="Verdana" w:ascii="Verdana" w:hAnsi="Verdana"/>
          <w:b/>
          <w:sz w:val="20"/>
          <w:szCs w:val="20"/>
        </w:rPr>
        <w:t>–</w:t>
      </w:r>
      <w:r>
        <w:rPr>
          <w:rFonts w:eastAsia="Calibri" w:cs="Verdana" w:ascii="Verdana" w:hAnsi="Verdana"/>
          <w:sz w:val="20"/>
          <w:szCs w:val="20"/>
        </w:rPr>
        <w:t xml:space="preserve"> O disposto neste capítulo somente se aplicará quando a melhor oferta inicial não tiver sido apresentada por microempresa ou empresa de pequeno porte.</w:t>
      </w:r>
    </w:p>
    <w:p>
      <w:pPr>
        <w:pStyle w:val="Normal"/>
        <w:spacing w:lineRule="auto" w:line="276"/>
        <w:jc w:val="both"/>
        <w:rPr>
          <w:rFonts w:ascii="Verdana" w:hAnsi="Verdana" w:eastAsia="Batang;바탕" w:cs="Verdana"/>
          <w:sz w:val="20"/>
          <w:szCs w:val="20"/>
        </w:rPr>
      </w:pPr>
      <w:r>
        <w:rPr>
          <w:rFonts w:eastAsia="Calibri" w:cs="Verdana" w:ascii="Verdana" w:hAnsi="Verdana"/>
          <w:b/>
          <w:sz w:val="20"/>
          <w:szCs w:val="20"/>
        </w:rPr>
        <w:t>VI –</w:t>
      </w:r>
      <w:r>
        <w:rPr>
          <w:rFonts w:eastAsia="Calibri" w:cs="Verdana" w:ascii="Verdana" w:hAnsi="Verdana"/>
          <w:sz w:val="20"/>
          <w:szCs w:val="20"/>
        </w:rPr>
        <w:t xml:space="preserve"> No caso de pregão, a microempresa ou empresa de pequeno porte mais bem classificada será convocada para apresentar nova proposta no prazo máximo de 5 (cinco) minutos após o encerramento dos lances, sob pena de preclusão.</w:t>
      </w:r>
    </w:p>
    <w:p>
      <w:pPr>
        <w:pStyle w:val="Corpodetexto22"/>
        <w:tabs>
          <w:tab w:val="clear" w:pos="851"/>
          <w:tab w:val="left" w:pos="-414" w:leader="none"/>
          <w:tab w:val="left" w:pos="306" w:leader="none"/>
          <w:tab w:val="left" w:pos="714"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rPr>
          <w:rFonts w:ascii="Verdana" w:hAnsi="Verdana" w:eastAsia="Batang;바탕" w:cs="Verdana"/>
          <w:sz w:val="20"/>
          <w:szCs w:val="20"/>
        </w:rPr>
      </w:pPr>
      <w:r>
        <w:rPr>
          <w:rFonts w:eastAsia="Batang;바탕" w:cs="Verdana" w:ascii="Verdana" w:hAnsi="Verdana"/>
          <w:sz w:val="20"/>
          <w:szCs w:val="20"/>
        </w:rPr>
        <w:t>11.9</w:t>
      </w:r>
      <w:r>
        <w:rPr>
          <w:rFonts w:eastAsia="Batang;바탕" w:cs="Verdana" w:ascii="Verdana" w:hAnsi="Verdana"/>
          <w:b w:val="false"/>
          <w:sz w:val="20"/>
          <w:szCs w:val="20"/>
        </w:rPr>
        <w:t xml:space="preserve"> </w:t>
      </w:r>
      <w:r>
        <w:rPr>
          <w:rFonts w:eastAsia="Batang;바탕" w:cs="Verdana" w:ascii="Verdana" w:hAnsi="Verdana"/>
          <w:sz w:val="20"/>
          <w:szCs w:val="20"/>
        </w:rPr>
        <w:t>–</w:t>
      </w:r>
      <w:r>
        <w:rPr>
          <w:rFonts w:eastAsia="Batang;바탕" w:cs="Verdana" w:ascii="Verdana" w:hAnsi="Verdana"/>
          <w:b w:val="false"/>
          <w:sz w:val="20"/>
          <w:szCs w:val="20"/>
        </w:rPr>
        <w:t xml:space="preserve"> O Pregoeiro durante a sessão poderá estipular normas, procedimentos, prazos e demais condições que julgar necessárias a fim de pôr ordem ao certame.</w:t>
      </w:r>
    </w:p>
    <w:p>
      <w:pPr>
        <w:pStyle w:val="Corpodetexto22"/>
        <w:tabs>
          <w:tab w:val="clear" w:pos="851"/>
          <w:tab w:val="left" w:pos="-414" w:leader="none"/>
          <w:tab w:val="left" w:pos="306" w:leader="none"/>
          <w:tab w:val="left" w:pos="714" w:leader="none"/>
          <w:tab w:val="left" w:pos="900"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rPr>
          <w:rFonts w:ascii="Verdana" w:hAnsi="Verdana" w:eastAsia="Batang;바탕" w:cs="Verdana"/>
          <w:sz w:val="20"/>
          <w:szCs w:val="20"/>
        </w:rPr>
      </w:pPr>
      <w:r>
        <w:rPr>
          <w:rFonts w:eastAsia="Batang;바탕" w:cs="Verdana" w:ascii="Verdana" w:hAnsi="Verdana"/>
          <w:sz w:val="20"/>
          <w:szCs w:val="20"/>
        </w:rPr>
        <w:t>11.10</w:t>
      </w:r>
      <w:r>
        <w:rPr>
          <w:rFonts w:eastAsia="Batang;바탕" w:cs="Verdana" w:ascii="Verdana" w:hAnsi="Verdana"/>
          <w:b w:val="false"/>
          <w:sz w:val="20"/>
          <w:szCs w:val="20"/>
        </w:rPr>
        <w:t xml:space="preserve"> </w:t>
      </w:r>
      <w:r>
        <w:rPr>
          <w:rFonts w:eastAsia="Batang;바탕" w:cs="Verdana" w:ascii="Verdana" w:hAnsi="Verdana"/>
          <w:sz w:val="20"/>
          <w:szCs w:val="20"/>
        </w:rPr>
        <w:t>–</w:t>
      </w:r>
      <w:r>
        <w:rPr>
          <w:rFonts w:eastAsia="Batang;바탕" w:cs="Verdana" w:ascii="Verdana" w:hAnsi="Verdana"/>
          <w:b w:val="false"/>
          <w:sz w:val="20"/>
          <w:szCs w:val="20"/>
        </w:rPr>
        <w:t xml:space="preserve"> Não poderá haver desistência dos lances ofertados, sujeitando-se o proponente desistente às penalidades previstas em lei e neste edital, salvo nos casos devidamente justificados e aceitos;</w:t>
      </w:r>
    </w:p>
    <w:p>
      <w:pPr>
        <w:pStyle w:val="Corpodetexto22"/>
        <w:tabs>
          <w:tab w:val="clear" w:pos="851"/>
          <w:tab w:val="left" w:pos="-414" w:leader="none"/>
          <w:tab w:val="left" w:pos="306" w:leader="none"/>
          <w:tab w:val="left" w:pos="714" w:leader="none"/>
          <w:tab w:val="left" w:pos="900"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rPr>
          <w:rFonts w:ascii="Verdana" w:hAnsi="Verdana" w:eastAsia="Batang;바탕" w:cs="Verdana"/>
          <w:sz w:val="20"/>
          <w:szCs w:val="20"/>
        </w:rPr>
      </w:pPr>
      <w:r>
        <w:rPr>
          <w:rFonts w:eastAsia="Batang;바탕" w:cs="Verdana" w:ascii="Verdana" w:hAnsi="Verdana"/>
          <w:sz w:val="20"/>
          <w:szCs w:val="20"/>
        </w:rPr>
        <w:t>11.11</w:t>
      </w:r>
      <w:r>
        <w:rPr>
          <w:rFonts w:eastAsia="Batang;바탕" w:cs="Verdana" w:ascii="Verdana" w:hAnsi="Verdana"/>
          <w:b w:val="false"/>
          <w:sz w:val="20"/>
          <w:szCs w:val="20"/>
        </w:rPr>
        <w:t xml:space="preserve"> </w:t>
      </w:r>
      <w:r>
        <w:rPr>
          <w:rFonts w:eastAsia="Batang;바탕" w:cs="Verdana" w:ascii="Verdana" w:hAnsi="Verdana"/>
          <w:sz w:val="20"/>
          <w:szCs w:val="20"/>
        </w:rPr>
        <w:t>–</w:t>
      </w:r>
      <w:r>
        <w:rPr>
          <w:rFonts w:eastAsia="Batang;바탕" w:cs="Verdana" w:ascii="Verdana" w:hAnsi="Verdana"/>
          <w:b w:val="false"/>
          <w:sz w:val="20"/>
          <w:szCs w:val="20"/>
        </w:rPr>
        <w:t xml:space="preserve"> Não havendo mais interesse dos licitantes em apresentar lance verbal, será encerrada a etapa competitiva e ordenadas as ofertas, exclusivamente pelo critério de </w:t>
      </w:r>
      <w:r>
        <w:rPr>
          <w:rFonts w:eastAsia="Batang;바탕" w:cs="Verdana" w:ascii="Verdana" w:hAnsi="Verdana"/>
          <w:sz w:val="20"/>
          <w:szCs w:val="20"/>
        </w:rPr>
        <w:t>MENOR PREÇO POR ITEM;</w:t>
      </w:r>
    </w:p>
    <w:p>
      <w:pPr>
        <w:pStyle w:val="Corpodetexto22"/>
        <w:tabs>
          <w:tab w:val="clear" w:pos="851"/>
          <w:tab w:val="left" w:pos="-414" w:leader="none"/>
          <w:tab w:val="left" w:pos="306" w:leader="none"/>
          <w:tab w:val="left" w:pos="714" w:leader="none"/>
          <w:tab w:val="left" w:pos="900"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rPr>
          <w:rFonts w:ascii="Verdana" w:hAnsi="Verdana" w:eastAsia="Batang;바탕" w:cs="Verdana"/>
          <w:bCs/>
          <w:sz w:val="20"/>
          <w:szCs w:val="20"/>
        </w:rPr>
      </w:pPr>
      <w:r>
        <w:rPr>
          <w:rFonts w:eastAsia="Batang;바탕" w:cs="Verdana" w:ascii="Verdana" w:hAnsi="Verdana"/>
          <w:sz w:val="20"/>
          <w:szCs w:val="20"/>
        </w:rPr>
        <w:t>11.12 –</w:t>
      </w:r>
      <w:r>
        <w:rPr>
          <w:rFonts w:eastAsia="Batang;바탕" w:cs="Verdana" w:ascii="Verdana" w:hAnsi="Verdana"/>
          <w:b w:val="false"/>
          <w:sz w:val="20"/>
          <w:szCs w:val="20"/>
        </w:rPr>
        <w:t xml:space="preserve"> Será adotado como critério de aceitabilidade de preço, o menor dentre os preços constantes das coletas de preços, que integram este processo, na forma do Decreto Municipal 917/2019.</w:t>
      </w:r>
    </w:p>
    <w:p>
      <w:pPr>
        <w:pStyle w:val="Corpodetexto22"/>
        <w:tabs>
          <w:tab w:val="clear" w:pos="851"/>
          <w:tab w:val="left" w:pos="-414" w:leader="none"/>
          <w:tab w:val="left" w:pos="306" w:leader="none"/>
          <w:tab w:val="left" w:pos="714" w:leader="none"/>
          <w:tab w:val="left" w:pos="900"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rPr>
          <w:rFonts w:ascii="Verdana" w:hAnsi="Verdana" w:eastAsia="Batang;바탕" w:cs="Verdana"/>
          <w:sz w:val="20"/>
          <w:szCs w:val="20"/>
        </w:rPr>
      </w:pPr>
      <w:r>
        <w:rPr>
          <w:rFonts w:eastAsia="Batang;바탕" w:cs="Verdana" w:ascii="Verdana" w:hAnsi="Verdana"/>
          <w:bCs/>
          <w:sz w:val="20"/>
          <w:szCs w:val="20"/>
        </w:rPr>
        <w:t xml:space="preserve">11.13 – </w:t>
      </w:r>
      <w:r>
        <w:rPr>
          <w:rFonts w:eastAsia="Batang;바탕" w:cs="Verdana" w:ascii="Verdana" w:hAnsi="Verdana"/>
          <w:b w:val="false"/>
          <w:sz w:val="20"/>
          <w:szCs w:val="20"/>
        </w:rPr>
        <w:t>O parâmetro de preços a ser adotado como critério de aceitabilidade de preços foi produzido conforme parágrafo anterior, pelo Departamento de Compras desta Prefeitura Municipal.</w:t>
      </w:r>
    </w:p>
    <w:p>
      <w:pPr>
        <w:pStyle w:val="Corpodetexto22"/>
        <w:tabs>
          <w:tab w:val="left" w:pos="-414" w:leader="none"/>
          <w:tab w:val="left" w:pos="306" w:leader="none"/>
          <w:tab w:val="left" w:pos="714" w:leader="none"/>
          <w:tab w:val="left" w:pos="851" w:leader="none"/>
          <w:tab w:val="left" w:pos="900"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rPr>
          <w:rFonts w:ascii="Verdana" w:hAnsi="Verdana" w:eastAsia="Batang;바탕" w:cs="Verdana"/>
          <w:sz w:val="20"/>
          <w:szCs w:val="20"/>
        </w:rPr>
      </w:pPr>
      <w:r>
        <w:rPr>
          <w:rFonts w:eastAsia="Batang;바탕" w:cs="Verdana" w:ascii="Verdana" w:hAnsi="Verdana"/>
          <w:sz w:val="20"/>
          <w:szCs w:val="20"/>
        </w:rPr>
        <w:t>11.14</w:t>
      </w:r>
      <w:r>
        <w:rPr>
          <w:rFonts w:eastAsia="Batang;바탕" w:cs="Verdana" w:ascii="Verdana" w:hAnsi="Verdana"/>
          <w:b w:val="false"/>
          <w:sz w:val="20"/>
          <w:szCs w:val="20"/>
        </w:rPr>
        <w:t xml:space="preserve"> </w:t>
      </w:r>
      <w:r>
        <w:rPr>
          <w:rFonts w:eastAsia="Batang;바탕" w:cs="Verdana" w:ascii="Verdana" w:hAnsi="Verdana"/>
          <w:sz w:val="20"/>
          <w:szCs w:val="20"/>
        </w:rPr>
        <w:t>–</w:t>
      </w:r>
      <w:r>
        <w:rPr>
          <w:rFonts w:eastAsia="Batang;바탕" w:cs="Verdana" w:ascii="Verdana" w:hAnsi="Verdana"/>
          <w:b w:val="false"/>
          <w:sz w:val="20"/>
          <w:szCs w:val="20"/>
        </w:rPr>
        <w:t xml:space="preserve"> Concluída a etapa de lances será aberto o Envelope nº 02 – HABILITAÇÃO e verificado o atendimento as exigências de habilitação previstas neste edital, somente das empresas vencedoras na etapa de lances;</w:t>
      </w:r>
    </w:p>
    <w:p>
      <w:pPr>
        <w:pStyle w:val="Normal"/>
        <w:tabs>
          <w:tab w:val="clear" w:pos="709"/>
          <w:tab w:val="left" w:pos="-414" w:leader="none"/>
          <w:tab w:val="left" w:pos="306" w:leader="none"/>
          <w:tab w:val="left" w:pos="714" w:leader="none"/>
          <w:tab w:val="left" w:pos="742" w:leader="none"/>
          <w:tab w:val="left" w:pos="980"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b/>
          <w:sz w:val="20"/>
          <w:szCs w:val="20"/>
        </w:rPr>
      </w:pPr>
      <w:r>
        <w:rPr>
          <w:rFonts w:eastAsia="Batang;바탕" w:cs="Verdana" w:ascii="Verdana" w:hAnsi="Verdana"/>
          <w:b/>
          <w:sz w:val="20"/>
          <w:szCs w:val="20"/>
        </w:rPr>
        <w:t>11.15</w:t>
      </w:r>
      <w:r>
        <w:rPr>
          <w:rFonts w:eastAsia="Batang;바탕" w:cs="Verdana" w:ascii="Verdana" w:hAnsi="Verdana"/>
          <w:sz w:val="20"/>
          <w:szCs w:val="20"/>
        </w:rPr>
        <w:t xml:space="preserve"> </w:t>
      </w:r>
      <w:r>
        <w:rPr>
          <w:rFonts w:eastAsia="Batang;바탕" w:cs="Verdana" w:ascii="Verdana" w:hAnsi="Verdana"/>
          <w:b/>
          <w:sz w:val="20"/>
          <w:szCs w:val="20"/>
        </w:rPr>
        <w:t>–</w:t>
      </w:r>
      <w:r>
        <w:rPr>
          <w:rFonts w:eastAsia="Batang;바탕" w:cs="Verdana" w:ascii="Verdana" w:hAnsi="Verdana"/>
          <w:sz w:val="20"/>
          <w:szCs w:val="20"/>
        </w:rPr>
        <w:t xml:space="preserve"> Constatado o atendimento às exigências fixadas neste edital (PROPOSTA e HABILITAÇÃO), a licitante será declarada vencedora na licitação;</w:t>
      </w:r>
    </w:p>
    <w:p>
      <w:pPr>
        <w:pStyle w:val="Normal"/>
        <w:tabs>
          <w:tab w:val="clear" w:pos="709"/>
          <w:tab w:val="left" w:pos="-414" w:leader="none"/>
          <w:tab w:val="left" w:pos="306" w:leader="none"/>
          <w:tab w:val="left" w:pos="714" w:leader="none"/>
          <w:tab w:val="left" w:pos="742" w:leader="none"/>
          <w:tab w:val="left" w:pos="980"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b/>
          <w:sz w:val="20"/>
          <w:szCs w:val="20"/>
        </w:rPr>
      </w:pPr>
      <w:r>
        <w:rPr>
          <w:rFonts w:eastAsia="Batang;바탕" w:cs="Verdana" w:ascii="Verdana" w:hAnsi="Verdana"/>
          <w:b/>
          <w:sz w:val="20"/>
          <w:szCs w:val="20"/>
        </w:rPr>
        <w:t>11.16</w:t>
      </w:r>
      <w:r>
        <w:rPr>
          <w:rFonts w:eastAsia="Batang;바탕" w:cs="Verdana" w:ascii="Verdana" w:hAnsi="Verdana"/>
          <w:sz w:val="20"/>
          <w:szCs w:val="20"/>
        </w:rPr>
        <w:t xml:space="preserve"> </w:t>
      </w:r>
      <w:r>
        <w:rPr>
          <w:rFonts w:eastAsia="Batang;바탕" w:cs="Verdana" w:ascii="Verdana" w:hAnsi="Verdana"/>
          <w:b/>
          <w:sz w:val="20"/>
          <w:szCs w:val="20"/>
        </w:rPr>
        <w:t>–</w:t>
      </w:r>
      <w:r>
        <w:rPr>
          <w:rFonts w:eastAsia="Batang;바탕" w:cs="Verdana" w:ascii="Verdana" w:hAnsi="Verdana"/>
          <w:sz w:val="20"/>
          <w:szCs w:val="20"/>
        </w:rPr>
        <w:t xml:space="preserve"> O proponente é responsável pelas informações e documentações apresentadas, sendo motivo de desclassificação ou inabilitação a prestação de quaisquer dados ou documentos falsos, não obstante as demais sanções previstas no ordenamento jurídico.</w:t>
      </w:r>
    </w:p>
    <w:p>
      <w:pPr>
        <w:pStyle w:val="Normal"/>
        <w:tabs>
          <w:tab w:val="clear" w:pos="709"/>
          <w:tab w:val="left" w:pos="-414" w:leader="none"/>
          <w:tab w:val="left" w:pos="306" w:leader="none"/>
          <w:tab w:val="left" w:pos="714" w:leader="none"/>
          <w:tab w:val="left" w:pos="742" w:leader="none"/>
          <w:tab w:val="left" w:pos="980"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b/>
          <w:sz w:val="20"/>
          <w:szCs w:val="20"/>
        </w:rPr>
      </w:pPr>
      <w:r>
        <w:rPr>
          <w:rFonts w:eastAsia="Batang;바탕" w:cs="Verdana" w:ascii="Verdana" w:hAnsi="Verdana"/>
          <w:b/>
          <w:sz w:val="20"/>
          <w:szCs w:val="20"/>
        </w:rPr>
        <w:t>11.17</w:t>
      </w:r>
      <w:r>
        <w:rPr>
          <w:rFonts w:eastAsia="Batang;바탕" w:cs="Verdana" w:ascii="Verdana" w:hAnsi="Verdana"/>
          <w:sz w:val="20"/>
          <w:szCs w:val="20"/>
        </w:rPr>
        <w:t xml:space="preserve"> </w:t>
      </w:r>
      <w:r>
        <w:rPr>
          <w:rFonts w:eastAsia="Batang;바탕" w:cs="Verdana" w:ascii="Verdana" w:hAnsi="Verdana"/>
          <w:b/>
          <w:sz w:val="20"/>
          <w:szCs w:val="20"/>
        </w:rPr>
        <w:t>–</w:t>
      </w:r>
      <w:r>
        <w:rPr>
          <w:rFonts w:eastAsia="Batang;바탕" w:cs="Verdana" w:ascii="Verdana" w:hAnsi="Verdana"/>
          <w:sz w:val="20"/>
          <w:szCs w:val="20"/>
        </w:rPr>
        <w:t xml:space="preserve"> A desclassificação ou inabilitação poderá ocorrer em qualquer fase, se porventura o Pregoeiro tomar conhecimento de fatos que contrariem as disposições contidas neste edital ou que desabonem a idoneidade do proponente;</w:t>
      </w:r>
    </w:p>
    <w:p>
      <w:pPr>
        <w:pStyle w:val="Normal"/>
        <w:tabs>
          <w:tab w:val="clear" w:pos="709"/>
          <w:tab w:val="left" w:pos="-414" w:leader="none"/>
          <w:tab w:val="left" w:pos="306" w:leader="none"/>
          <w:tab w:val="left" w:pos="714" w:leader="none"/>
          <w:tab w:val="left" w:pos="742" w:leader="none"/>
          <w:tab w:val="left" w:pos="980"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b/>
          <w:sz w:val="20"/>
          <w:szCs w:val="20"/>
          <w:u w:val="single"/>
        </w:rPr>
      </w:pPr>
      <w:r>
        <w:rPr>
          <w:rFonts w:eastAsia="Batang;바탕" w:cs="Verdana" w:ascii="Verdana" w:hAnsi="Verdana"/>
          <w:b/>
          <w:sz w:val="20"/>
          <w:szCs w:val="20"/>
        </w:rPr>
        <w:t>11.18</w:t>
      </w:r>
      <w:r>
        <w:rPr>
          <w:rFonts w:eastAsia="Batang;바탕" w:cs="Verdana" w:ascii="Verdana" w:hAnsi="Verdana"/>
          <w:sz w:val="20"/>
          <w:szCs w:val="20"/>
        </w:rPr>
        <w:t xml:space="preserve"> </w:t>
      </w:r>
      <w:r>
        <w:rPr>
          <w:rFonts w:eastAsia="Batang;바탕" w:cs="Verdana" w:ascii="Verdana" w:hAnsi="Verdana"/>
          <w:b/>
          <w:sz w:val="20"/>
          <w:szCs w:val="20"/>
        </w:rPr>
        <w:t>–</w:t>
      </w:r>
      <w:r>
        <w:rPr>
          <w:rFonts w:eastAsia="Batang;바탕" w:cs="Verdana" w:ascii="Verdana" w:hAnsi="Verdana"/>
          <w:sz w:val="20"/>
          <w:szCs w:val="20"/>
        </w:rPr>
        <w:t xml:space="preserve"> O Pregoeiro ou poderá solicitar esclarecimentos e promover diligências em qualquer momento e sempre que julgar necessário, com intuito de elucidar ou complementar a instrução do processo, vedada a inclusão posterior de documento ou informação que deveria constar originariamente em qualquer dos envelopes.</w:t>
      </w:r>
    </w:p>
    <w:p>
      <w:pPr>
        <w:pStyle w:val="Normal"/>
        <w:tabs>
          <w:tab w:val="clear" w:pos="709"/>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center"/>
        <w:rPr>
          <w:rFonts w:ascii="Verdana" w:hAnsi="Verdana" w:eastAsia="Batang;바탕" w:cs="Verdana"/>
          <w:b/>
          <w:sz w:val="20"/>
          <w:szCs w:val="20"/>
          <w:u w:val="single"/>
        </w:rPr>
      </w:pPr>
      <w:r>
        <w:rPr>
          <w:rFonts w:eastAsia="Batang;바탕" w:cs="Verdana" w:ascii="Verdana" w:hAnsi="Verdana"/>
          <w:b/>
          <w:sz w:val="20"/>
          <w:szCs w:val="20"/>
          <w:u w:val="single"/>
        </w:rPr>
      </w:r>
    </w:p>
    <w:p>
      <w:pPr>
        <w:pStyle w:val="Normal"/>
        <w:tabs>
          <w:tab w:val="clear" w:pos="709"/>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center"/>
        <w:rPr>
          <w:rFonts w:ascii="Verdana" w:hAnsi="Verdana" w:eastAsia="Batang;바탕" w:cs="Verdana"/>
          <w:b/>
          <w:sz w:val="20"/>
          <w:szCs w:val="20"/>
        </w:rPr>
      </w:pPr>
      <w:r>
        <w:rPr>
          <w:rFonts w:eastAsia="Batang;바탕" w:cs="Verdana" w:ascii="Verdana" w:hAnsi="Verdana"/>
          <w:b/>
          <w:sz w:val="20"/>
          <w:szCs w:val="20"/>
          <w:u w:val="single"/>
        </w:rPr>
        <w:t>XII – DOS RECURSOS ADMINISTRATIVOS</w:t>
      </w:r>
    </w:p>
    <w:p>
      <w:pPr>
        <w:pStyle w:val="Normal"/>
        <w:tabs>
          <w:tab w:val="clear" w:pos="709"/>
          <w:tab w:val="left" w:pos="-414" w:leader="none"/>
          <w:tab w:val="left" w:pos="306" w:leader="none"/>
          <w:tab w:val="left" w:pos="700"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b/>
          <w:sz w:val="20"/>
          <w:szCs w:val="20"/>
        </w:rPr>
      </w:pPr>
      <w:r>
        <w:rPr>
          <w:rFonts w:eastAsia="Batang;바탕" w:cs="Verdana" w:ascii="Verdana" w:hAnsi="Verdana"/>
          <w:b/>
          <w:sz w:val="20"/>
          <w:szCs w:val="20"/>
        </w:rPr>
        <w:t>12.1 –</w:t>
      </w:r>
      <w:r>
        <w:rPr>
          <w:rFonts w:eastAsia="Batang;바탕" w:cs="Verdana" w:ascii="Verdana" w:hAnsi="Verdana"/>
          <w:sz w:val="20"/>
          <w:szCs w:val="20"/>
        </w:rPr>
        <w:t xml:space="preserve"> Dos atos relacionados a este procedimento licitatório cabem os recursos previstos na Lei nº 10.520/02 e na Lei 14.133/21 e suas alterações.</w:t>
      </w:r>
    </w:p>
    <w:p>
      <w:pPr>
        <w:pStyle w:val="Normal"/>
        <w:tabs>
          <w:tab w:val="clear" w:pos="709"/>
          <w:tab w:val="left" w:pos="-414" w:leader="none"/>
          <w:tab w:val="left" w:pos="0" w:leader="none"/>
          <w:tab w:val="left" w:pos="306" w:leader="none"/>
          <w:tab w:val="left" w:pos="1026" w:leader="none"/>
          <w:tab w:val="left" w:pos="1926" w:leader="none"/>
          <w:tab w:val="left" w:pos="2466" w:leader="none"/>
          <w:tab w:val="left" w:pos="283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b/>
          <w:sz w:val="20"/>
          <w:szCs w:val="20"/>
        </w:rPr>
      </w:pPr>
      <w:r>
        <w:rPr>
          <w:rFonts w:eastAsia="Batang;바탕" w:cs="Verdana" w:ascii="Verdana" w:hAnsi="Verdana"/>
          <w:b/>
          <w:sz w:val="20"/>
          <w:szCs w:val="20"/>
        </w:rPr>
        <w:t>12.2</w:t>
      </w:r>
      <w:r>
        <w:rPr>
          <w:rFonts w:eastAsia="Batang;바탕" w:cs="Verdana" w:ascii="Verdana" w:hAnsi="Verdana"/>
          <w:sz w:val="20"/>
          <w:szCs w:val="20"/>
        </w:rPr>
        <w:t xml:space="preserve"> </w:t>
      </w:r>
      <w:r>
        <w:rPr>
          <w:rFonts w:eastAsia="Batang;바탕" w:cs="Verdana" w:ascii="Verdana" w:hAnsi="Verdana"/>
          <w:b/>
          <w:sz w:val="20"/>
          <w:szCs w:val="20"/>
        </w:rPr>
        <w:t>–</w:t>
      </w:r>
      <w:r>
        <w:rPr>
          <w:rFonts w:eastAsia="Batang;바탕" w:cs="Verdana" w:ascii="Verdana" w:hAnsi="Verdana"/>
          <w:sz w:val="20"/>
          <w:szCs w:val="20"/>
        </w:rPr>
        <w:t xml:space="preserve"> </w:t>
      </w:r>
      <w:r>
        <w:rPr>
          <w:rFonts w:cs="Verdana" w:ascii="Verdana" w:hAnsi="Verdana"/>
          <w:sz w:val="20"/>
          <w:szCs w:val="20"/>
        </w:rPr>
        <w:t>Declarado o vencedor, qualquer licitante poderá manifestar imediata e motivadamente a intenção de recorrer, quando lhe será concedido o prazo de 3 (três) dias para apresentação das razões do recurso, ficando os demais licitantes desde logo intimados para apresentar contrarrazões em igual número de dias, que começarão a correr do término do prazo do recorrente, sendo-lhes assegurada vista imediata dos autos.</w:t>
      </w:r>
    </w:p>
    <w:p>
      <w:pPr>
        <w:pStyle w:val="Normal"/>
        <w:tabs>
          <w:tab w:val="clear" w:pos="709"/>
          <w:tab w:val="left" w:pos="-414" w:leader="none"/>
          <w:tab w:val="left" w:pos="306" w:leader="none"/>
          <w:tab w:val="left" w:pos="700" w:leader="none"/>
          <w:tab w:val="left" w:pos="1926" w:leader="none"/>
          <w:tab w:val="left" w:pos="2466" w:leader="none"/>
          <w:tab w:val="left" w:pos="283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sz w:val="20"/>
          <w:szCs w:val="20"/>
        </w:rPr>
      </w:pPr>
      <w:r>
        <w:rPr>
          <w:rFonts w:eastAsia="Batang;바탕" w:cs="Verdana" w:ascii="Verdana" w:hAnsi="Verdana"/>
          <w:b/>
          <w:sz w:val="20"/>
          <w:szCs w:val="20"/>
        </w:rPr>
        <w:t>12.3 –</w:t>
      </w:r>
      <w:r>
        <w:rPr>
          <w:rFonts w:eastAsia="Batang;바탕" w:cs="Verdana" w:ascii="Verdana" w:hAnsi="Verdana"/>
          <w:sz w:val="20"/>
          <w:szCs w:val="20"/>
        </w:rPr>
        <w:t xml:space="preserve"> Os recursos deverão observar os seguintes critérios:</w:t>
      </w:r>
    </w:p>
    <w:p>
      <w:pPr>
        <w:pStyle w:val="Normal"/>
        <w:numPr>
          <w:ilvl w:val="1"/>
          <w:numId w:val="4"/>
        </w:numPr>
        <w:tabs>
          <w:tab w:val="clear" w:pos="709"/>
          <w:tab w:val="left" w:pos="345" w:leader="none"/>
        </w:tabs>
        <w:overflowPunct w:val="false"/>
        <w:autoSpaceDE w:val="false"/>
        <w:spacing w:lineRule="auto" w:line="276"/>
        <w:ind w:hanging="0" w:left="0" w:right="0"/>
        <w:jc w:val="both"/>
        <w:textAlignment w:val="baseline"/>
        <w:rPr>
          <w:rFonts w:ascii="Verdana" w:hAnsi="Verdana" w:eastAsia="Batang;바탕" w:cs="Verdana"/>
          <w:sz w:val="20"/>
          <w:szCs w:val="20"/>
        </w:rPr>
      </w:pPr>
      <w:r>
        <w:rPr>
          <w:rFonts w:eastAsia="Batang;바탕" w:cs="Verdana" w:ascii="Verdana" w:hAnsi="Verdana"/>
          <w:sz w:val="20"/>
          <w:szCs w:val="20"/>
        </w:rPr>
        <w:t>Serão dirigidos ao Pregoeiro, devidamente fundamentados e, se for o caso, acompanhados de documentação pertinente;</w:t>
      </w:r>
    </w:p>
    <w:p>
      <w:pPr>
        <w:pStyle w:val="Normal"/>
        <w:numPr>
          <w:ilvl w:val="1"/>
          <w:numId w:val="4"/>
        </w:numPr>
        <w:tabs>
          <w:tab w:val="clear" w:pos="709"/>
          <w:tab w:val="left" w:pos="345" w:leader="none"/>
        </w:tabs>
        <w:overflowPunct w:val="false"/>
        <w:autoSpaceDE w:val="false"/>
        <w:spacing w:lineRule="auto" w:line="276"/>
        <w:ind w:hanging="0" w:left="0" w:right="0"/>
        <w:jc w:val="both"/>
        <w:textAlignment w:val="baseline"/>
        <w:rPr>
          <w:rFonts w:ascii="Verdana" w:hAnsi="Verdana" w:eastAsia="Batang;바탕" w:cs="Verdana"/>
          <w:sz w:val="20"/>
          <w:szCs w:val="20"/>
        </w:rPr>
      </w:pPr>
      <w:r>
        <w:rPr>
          <w:rFonts w:eastAsia="Batang;바탕" w:cs="Verdana" w:ascii="Verdana" w:hAnsi="Verdana"/>
          <w:sz w:val="20"/>
          <w:szCs w:val="20"/>
        </w:rPr>
        <w:t>Deverão estar assinados por representante legal do licitante, sendo que no caso de procurador deverá ser anexado o instrumento procuratório (se ausente nos autos);</w:t>
      </w:r>
    </w:p>
    <w:p>
      <w:pPr>
        <w:pStyle w:val="Normal"/>
        <w:numPr>
          <w:ilvl w:val="1"/>
          <w:numId w:val="4"/>
        </w:numPr>
        <w:tabs>
          <w:tab w:val="clear" w:pos="709"/>
          <w:tab w:val="left" w:pos="345" w:leader="none"/>
        </w:tabs>
        <w:overflowPunct w:val="false"/>
        <w:autoSpaceDE w:val="false"/>
        <w:spacing w:lineRule="auto" w:line="276"/>
        <w:ind w:hanging="0" w:left="0" w:right="0"/>
        <w:jc w:val="both"/>
        <w:textAlignment w:val="baseline"/>
        <w:rPr>
          <w:rFonts w:ascii="Verdana" w:hAnsi="Verdana" w:eastAsia="Batang;바탕" w:cs="Verdana"/>
          <w:b/>
          <w:sz w:val="20"/>
          <w:szCs w:val="20"/>
          <w:u w:val="single"/>
        </w:rPr>
      </w:pPr>
      <w:r>
        <w:rPr>
          <w:rFonts w:eastAsia="Batang;바탕" w:cs="Verdana" w:ascii="Verdana" w:hAnsi="Verdana"/>
          <w:sz w:val="20"/>
          <w:szCs w:val="20"/>
        </w:rPr>
        <w:t>Os recursos deverão ser apresentados diretamente no Setor de Licitações desta Prefeitura Municipal e fora do prazo legal, não serão conhecidos, ou protocolados, e neste último caso, ficando sob responsabilidade da recorrente, fazer com que o recurso chegue às mãos do Pregoeiro dentro do prazo regular de recurso mencionado neste capítulo;</w:t>
      </w:r>
    </w:p>
    <w:p>
      <w:pPr>
        <w:pStyle w:val="Normal"/>
        <w:tabs>
          <w:tab w:val="clear" w:pos="709"/>
          <w:tab w:val="left" w:pos="-414" w:leader="none"/>
          <w:tab w:val="left" w:pos="0" w:leader="none"/>
          <w:tab w:val="left" w:pos="306" w:leader="none"/>
          <w:tab w:val="left" w:pos="1026" w:leader="none"/>
          <w:tab w:val="left" w:pos="1926" w:leader="none"/>
          <w:tab w:val="left" w:pos="2466" w:leader="none"/>
          <w:tab w:val="left" w:pos="283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center"/>
        <w:rPr>
          <w:rFonts w:ascii="Verdana" w:hAnsi="Verdana" w:eastAsia="Batang;바탕" w:cs="Verdana"/>
          <w:b/>
          <w:sz w:val="20"/>
          <w:szCs w:val="20"/>
          <w:u w:val="single"/>
        </w:rPr>
      </w:pPr>
      <w:r>
        <w:rPr>
          <w:rFonts w:eastAsia="Batang;바탕" w:cs="Verdana" w:ascii="Verdana" w:hAnsi="Verdana"/>
          <w:b/>
          <w:sz w:val="20"/>
          <w:szCs w:val="20"/>
          <w:u w:val="single"/>
        </w:rPr>
      </w:r>
    </w:p>
    <w:p>
      <w:pPr>
        <w:pStyle w:val="Normal"/>
        <w:tabs>
          <w:tab w:val="clear" w:pos="709"/>
          <w:tab w:val="left" w:pos="-414" w:leader="none"/>
          <w:tab w:val="left" w:pos="0" w:leader="none"/>
          <w:tab w:val="left" w:pos="306" w:leader="none"/>
          <w:tab w:val="left" w:pos="1026" w:leader="none"/>
          <w:tab w:val="left" w:pos="1926" w:leader="none"/>
          <w:tab w:val="left" w:pos="2466" w:leader="none"/>
          <w:tab w:val="left" w:pos="283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center"/>
        <w:rPr>
          <w:rFonts w:ascii="Verdana" w:hAnsi="Verdana" w:eastAsia="Batang;바탕" w:cs="Verdana"/>
          <w:b/>
          <w:sz w:val="20"/>
          <w:szCs w:val="20"/>
        </w:rPr>
      </w:pPr>
      <w:r>
        <w:rPr>
          <w:rFonts w:eastAsia="Batang;바탕" w:cs="Verdana" w:ascii="Verdana" w:hAnsi="Verdana"/>
          <w:b/>
          <w:sz w:val="20"/>
          <w:szCs w:val="20"/>
          <w:u w:val="single"/>
        </w:rPr>
        <w:t>XIII – DA HOMOLOGAÇÃO E ADJUDICAÇÃO</w:t>
      </w:r>
    </w:p>
    <w:p>
      <w:pPr>
        <w:pStyle w:val="Normal"/>
        <w:tabs>
          <w:tab w:val="clear" w:pos="709"/>
          <w:tab w:val="left" w:pos="-414" w:leader="none"/>
          <w:tab w:val="left" w:pos="306" w:leader="none"/>
          <w:tab w:val="left" w:pos="714" w:leader="none"/>
          <w:tab w:val="left" w:pos="1926" w:leader="none"/>
          <w:tab w:val="left" w:pos="2466" w:leader="none"/>
          <w:tab w:val="left" w:pos="283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b/>
          <w:sz w:val="20"/>
          <w:szCs w:val="20"/>
        </w:rPr>
      </w:pPr>
      <w:r>
        <w:rPr>
          <w:rFonts w:eastAsia="Batang;바탕" w:cs="Verdana" w:ascii="Verdana" w:hAnsi="Verdana"/>
          <w:b/>
          <w:sz w:val="20"/>
          <w:szCs w:val="20"/>
        </w:rPr>
        <w:t>13.1 –</w:t>
      </w:r>
      <w:r>
        <w:rPr>
          <w:rFonts w:eastAsia="Batang;바탕" w:cs="Verdana" w:ascii="Verdana" w:hAnsi="Verdana"/>
          <w:sz w:val="20"/>
          <w:szCs w:val="20"/>
        </w:rPr>
        <w:t xml:space="preserve"> Caberá ao Pregoeiro o credenciamento, classificação das propostas, habilitação das empresas e ao final a adjudicação em favor da empresa vencedora, deliberações que serão submetidas à autoridade superior para a homologação da Licitação.</w:t>
      </w:r>
    </w:p>
    <w:p>
      <w:pPr>
        <w:pStyle w:val="Normal"/>
        <w:tabs>
          <w:tab w:val="clear" w:pos="709"/>
          <w:tab w:val="left" w:pos="-414" w:leader="none"/>
          <w:tab w:val="left" w:pos="306" w:leader="none"/>
          <w:tab w:val="left" w:pos="714" w:leader="none"/>
          <w:tab w:val="left" w:pos="1926" w:leader="none"/>
          <w:tab w:val="left" w:pos="2466" w:leader="none"/>
          <w:tab w:val="left" w:pos="283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b/>
          <w:sz w:val="20"/>
          <w:szCs w:val="20"/>
          <w:u w:val="single"/>
        </w:rPr>
      </w:pPr>
      <w:r>
        <w:rPr>
          <w:rFonts w:eastAsia="Batang;바탕" w:cs="Verdana" w:ascii="Verdana" w:hAnsi="Verdana"/>
          <w:b/>
          <w:sz w:val="20"/>
          <w:szCs w:val="20"/>
        </w:rPr>
        <w:t>13.2 –</w:t>
      </w:r>
      <w:r>
        <w:rPr>
          <w:rFonts w:eastAsia="Batang;바탕" w:cs="Verdana" w:ascii="Verdana" w:hAnsi="Verdana"/>
          <w:sz w:val="20"/>
          <w:szCs w:val="20"/>
        </w:rPr>
        <w:t xml:space="preserve"> Em havendo recurso, após seu julgamento por parte do Pregoeiro, ficará a cargo da autoridade superior além a homologação a adjudicação em favor da empresa vencedora.</w:t>
      </w:r>
    </w:p>
    <w:p>
      <w:pPr>
        <w:pStyle w:val="Normal"/>
        <w:tabs>
          <w:tab w:val="clear" w:pos="709"/>
          <w:tab w:val="left" w:pos="993" w:leader="none"/>
          <w:tab w:val="left" w:pos="1418" w:leader="none"/>
        </w:tabs>
        <w:spacing w:lineRule="auto" w:line="276"/>
        <w:ind w:firstLine="10" w:right="0"/>
        <w:jc w:val="center"/>
        <w:rPr>
          <w:rFonts w:ascii="Verdana" w:hAnsi="Verdana" w:eastAsia="Batang;바탕" w:cs="Verdana"/>
          <w:b/>
          <w:sz w:val="20"/>
          <w:szCs w:val="20"/>
          <w:u w:val="single"/>
        </w:rPr>
      </w:pPr>
      <w:r>
        <w:rPr>
          <w:rFonts w:eastAsia="Batang;바탕" w:cs="Verdana" w:ascii="Verdana" w:hAnsi="Verdana"/>
          <w:b/>
          <w:sz w:val="20"/>
          <w:szCs w:val="20"/>
          <w:u w:val="single"/>
        </w:rPr>
      </w:r>
    </w:p>
    <w:p>
      <w:pPr>
        <w:pStyle w:val="Normal"/>
        <w:tabs>
          <w:tab w:val="clear" w:pos="709"/>
          <w:tab w:val="left" w:pos="993" w:leader="none"/>
          <w:tab w:val="left" w:pos="1418" w:leader="none"/>
        </w:tabs>
        <w:spacing w:lineRule="auto" w:line="276"/>
        <w:ind w:firstLine="10" w:right="0"/>
        <w:jc w:val="center"/>
        <w:rPr>
          <w:rFonts w:ascii="Verdana" w:hAnsi="Verdana" w:eastAsia="Batang;바탕" w:cs="Verdana"/>
          <w:b/>
          <w:sz w:val="20"/>
          <w:szCs w:val="20"/>
        </w:rPr>
      </w:pPr>
      <w:r>
        <w:rPr>
          <w:rFonts w:eastAsia="Batang;바탕" w:cs="Verdana" w:ascii="Verdana" w:hAnsi="Verdana"/>
          <w:b/>
          <w:sz w:val="20"/>
          <w:szCs w:val="20"/>
          <w:u w:val="single"/>
        </w:rPr>
        <w:t>XIV – DA ASSINATURA DA ATA DE REGISTRO DE PREÇO</w:t>
      </w:r>
    </w:p>
    <w:p>
      <w:pPr>
        <w:pStyle w:val="Normal"/>
        <w:tabs>
          <w:tab w:val="clear" w:pos="709"/>
          <w:tab w:val="left" w:pos="993" w:leader="none"/>
          <w:tab w:val="left" w:pos="1418" w:leader="none"/>
        </w:tabs>
        <w:spacing w:lineRule="auto" w:line="276"/>
        <w:ind w:firstLine="10" w:right="0"/>
        <w:jc w:val="both"/>
        <w:rPr>
          <w:rFonts w:ascii="Verdana" w:hAnsi="Verdana" w:eastAsia="Batang;바탕" w:cs="Verdana"/>
          <w:b/>
          <w:sz w:val="20"/>
          <w:szCs w:val="20"/>
        </w:rPr>
      </w:pPr>
      <w:r>
        <w:rPr>
          <w:rFonts w:eastAsia="Batang;바탕" w:cs="Verdana" w:ascii="Verdana" w:hAnsi="Verdana"/>
          <w:b/>
          <w:sz w:val="20"/>
          <w:szCs w:val="20"/>
        </w:rPr>
        <w:t>14.1 –</w:t>
      </w:r>
      <w:r>
        <w:rPr>
          <w:rFonts w:eastAsia="Batang;바탕" w:cs="Verdana" w:ascii="Verdana" w:hAnsi="Verdana"/>
          <w:sz w:val="20"/>
          <w:szCs w:val="20"/>
        </w:rPr>
        <w:t xml:space="preserve"> A Prefeitura Municipal de São Gabriel da Palha/Secretaria Municipal de Educação convocará a(s) licitante(s) para assinatura da ata de registro de preços relativo ao presente pregão.</w:t>
      </w:r>
    </w:p>
    <w:p>
      <w:pPr>
        <w:pStyle w:val="Normal"/>
        <w:tabs>
          <w:tab w:val="clear" w:pos="709"/>
          <w:tab w:val="left" w:pos="993" w:leader="none"/>
          <w:tab w:val="left" w:pos="1418" w:leader="none"/>
        </w:tabs>
        <w:spacing w:lineRule="auto" w:line="276"/>
        <w:ind w:firstLine="10" w:right="0"/>
        <w:jc w:val="both"/>
        <w:rPr>
          <w:rFonts w:ascii="Verdana" w:hAnsi="Verdana" w:eastAsia="Batang;바탕" w:cs="Verdana"/>
          <w:b/>
          <w:sz w:val="20"/>
          <w:szCs w:val="20"/>
        </w:rPr>
      </w:pPr>
      <w:r>
        <w:rPr>
          <w:rFonts w:eastAsia="Batang;바탕" w:cs="Verdana" w:ascii="Verdana" w:hAnsi="Verdana"/>
          <w:b/>
          <w:sz w:val="20"/>
          <w:szCs w:val="20"/>
        </w:rPr>
        <w:t xml:space="preserve">14.2 – </w:t>
      </w:r>
      <w:r>
        <w:rPr>
          <w:rFonts w:eastAsia="Batang;바탕" w:cs="Verdana" w:ascii="Verdana" w:hAnsi="Verdana"/>
          <w:sz w:val="20"/>
          <w:szCs w:val="20"/>
        </w:rPr>
        <w:t>A convocação poderá ocorrer de forma verbal, pessoalmente ou por telefone.</w:t>
      </w:r>
    </w:p>
    <w:p>
      <w:pPr>
        <w:pStyle w:val="Normal"/>
        <w:tabs>
          <w:tab w:val="clear" w:pos="709"/>
          <w:tab w:val="left" w:pos="993" w:leader="none"/>
          <w:tab w:val="left" w:pos="1418" w:leader="none"/>
        </w:tabs>
        <w:spacing w:lineRule="auto" w:line="276"/>
        <w:ind w:firstLine="10" w:right="0"/>
        <w:jc w:val="both"/>
        <w:rPr>
          <w:rFonts w:ascii="Verdana" w:hAnsi="Verdana" w:cs="Verdana"/>
          <w:b/>
          <w:sz w:val="20"/>
          <w:szCs w:val="20"/>
        </w:rPr>
      </w:pPr>
      <w:r>
        <w:rPr>
          <w:rFonts w:eastAsia="Batang;바탕" w:cs="Verdana" w:ascii="Verdana" w:hAnsi="Verdana"/>
          <w:b/>
          <w:sz w:val="20"/>
          <w:szCs w:val="20"/>
        </w:rPr>
        <w:t xml:space="preserve">14.3 – </w:t>
      </w:r>
      <w:r>
        <w:rPr>
          <w:rFonts w:eastAsia="Batang;바탕" w:cs="Verdana" w:ascii="Verdana" w:hAnsi="Verdana"/>
          <w:sz w:val="20"/>
          <w:szCs w:val="20"/>
        </w:rPr>
        <w:t>A(s) licitante(s) vencedora(s) deverá (ao) promover a assinatura da ata no prazo máximo de 05 (cinco) dias contados da sua convocação.</w:t>
      </w:r>
    </w:p>
    <w:p>
      <w:pPr>
        <w:pStyle w:val="Normal"/>
        <w:spacing w:lineRule="auto" w:line="276"/>
        <w:jc w:val="both"/>
        <w:rPr>
          <w:rFonts w:ascii="Verdana" w:hAnsi="Verdana" w:cs="Verdana"/>
          <w:b/>
          <w:sz w:val="20"/>
          <w:szCs w:val="20"/>
        </w:rPr>
      </w:pPr>
      <w:r>
        <w:rPr>
          <w:rFonts w:cs="Verdana" w:ascii="Verdana" w:hAnsi="Verdana"/>
          <w:b/>
          <w:sz w:val="20"/>
          <w:szCs w:val="20"/>
        </w:rPr>
        <w:t>14.4</w:t>
      </w:r>
      <w:r>
        <w:rPr>
          <w:rFonts w:cs="Verdana" w:ascii="Verdana" w:hAnsi="Verdana"/>
          <w:sz w:val="20"/>
          <w:szCs w:val="20"/>
        </w:rPr>
        <w:t xml:space="preserve"> </w:t>
      </w:r>
      <w:r>
        <w:rPr>
          <w:rFonts w:cs="Verdana" w:ascii="Verdana" w:hAnsi="Verdana"/>
          <w:b/>
          <w:sz w:val="20"/>
          <w:szCs w:val="20"/>
        </w:rPr>
        <w:t>–</w:t>
      </w:r>
      <w:r>
        <w:rPr>
          <w:rFonts w:cs="Verdana" w:ascii="Verdana" w:hAnsi="Verdana"/>
          <w:sz w:val="20"/>
          <w:szCs w:val="20"/>
        </w:rPr>
        <w:t xml:space="preserve"> A recusa injustificada do licitante vencedor em assinar </w:t>
      </w:r>
      <w:r>
        <w:rPr>
          <w:rFonts w:eastAsia="Batang;바탕" w:cs="Verdana" w:ascii="Verdana" w:hAnsi="Verdana"/>
          <w:sz w:val="20"/>
          <w:szCs w:val="20"/>
        </w:rPr>
        <w:t xml:space="preserve">a ata de registro de preços </w:t>
      </w:r>
      <w:r>
        <w:rPr>
          <w:rFonts w:cs="Verdana" w:ascii="Verdana" w:hAnsi="Verdana"/>
          <w:sz w:val="20"/>
          <w:szCs w:val="20"/>
        </w:rPr>
        <w:t>caracteriza o descumprimento total da obrigação assumida, sujeitando-o à multa bem como às penalidades estabelecidas na lei 14.133/21</w:t>
      </w:r>
    </w:p>
    <w:p>
      <w:pPr>
        <w:pStyle w:val="Normal"/>
        <w:spacing w:lineRule="auto" w:line="276"/>
        <w:jc w:val="both"/>
        <w:rPr>
          <w:rFonts w:ascii="Verdana" w:hAnsi="Verdana" w:cs="Verdana"/>
          <w:sz w:val="20"/>
          <w:szCs w:val="20"/>
        </w:rPr>
      </w:pPr>
      <w:r>
        <w:rPr>
          <w:rFonts w:cs="Verdana" w:ascii="Verdana" w:hAnsi="Verdana"/>
          <w:b/>
          <w:sz w:val="20"/>
          <w:szCs w:val="20"/>
        </w:rPr>
        <w:t xml:space="preserve">14.5 – </w:t>
      </w:r>
      <w:r>
        <w:rPr>
          <w:rFonts w:cs="Verdana" w:ascii="Verdana" w:hAnsi="Verdana"/>
          <w:sz w:val="20"/>
          <w:szCs w:val="20"/>
        </w:rPr>
        <w:t>Nos casos de multa em cumprimento ao que determina o item anterior, esta será de 10% (dez por cento) sobre o valor adjudicado ao licitante vencedor.</w:t>
      </w:r>
    </w:p>
    <w:p>
      <w:pPr>
        <w:pStyle w:val="Normal"/>
        <w:spacing w:lineRule="auto" w:line="276"/>
        <w:jc w:val="both"/>
        <w:rPr>
          <w:rFonts w:ascii="Verdana" w:hAnsi="Verdana" w:cs="Verdana"/>
          <w:sz w:val="20"/>
          <w:szCs w:val="20"/>
        </w:rPr>
      </w:pPr>
      <w:r>
        <w:rPr>
          <w:rFonts w:cs="Verdana" w:ascii="Verdana" w:hAnsi="Verdana"/>
          <w:sz w:val="20"/>
          <w:szCs w:val="20"/>
        </w:rPr>
      </w:r>
    </w:p>
    <w:p>
      <w:pPr>
        <w:pStyle w:val="Normal"/>
        <w:tabs>
          <w:tab w:val="clear" w:pos="709"/>
          <w:tab w:val="left" w:pos="993" w:leader="none"/>
          <w:tab w:val="left" w:pos="1418" w:leader="none"/>
        </w:tabs>
        <w:ind w:firstLine="10" w:right="-142"/>
        <w:jc w:val="center"/>
        <w:rPr>
          <w:sz w:val="20"/>
          <w:szCs w:val="20"/>
        </w:rPr>
      </w:pPr>
      <w:r>
        <w:rPr>
          <w:rFonts w:eastAsia="Batang;바탕" w:cs="Verdana" w:ascii="Verdana" w:hAnsi="Verdana"/>
          <w:b/>
          <w:sz w:val="20"/>
          <w:szCs w:val="20"/>
          <w:u w:val="single"/>
        </w:rPr>
        <w:t>XV – DA ORDEM DE FORNECIMENTO</w:t>
      </w:r>
    </w:p>
    <w:p>
      <w:pPr>
        <w:pStyle w:val="Recuodecorpodetexto31"/>
        <w:spacing w:before="0" w:after="0"/>
        <w:ind w:left="0" w:right="-142"/>
        <w:jc w:val="both"/>
        <w:rPr>
          <w:sz w:val="20"/>
          <w:szCs w:val="20"/>
        </w:rPr>
      </w:pPr>
      <w:r>
        <w:rPr>
          <w:rFonts w:cs="Verdana" w:ascii="Verdana" w:hAnsi="Verdana"/>
          <w:b/>
          <w:sz w:val="20"/>
          <w:szCs w:val="20"/>
        </w:rPr>
        <w:t>15.1 –</w:t>
      </w:r>
      <w:r>
        <w:rPr>
          <w:rFonts w:cs="Verdana" w:ascii="Verdana" w:hAnsi="Verdana"/>
          <w:sz w:val="20"/>
          <w:szCs w:val="20"/>
        </w:rPr>
        <w:t xml:space="preserve"> Todos os termos exigidos para o fornecimento, bem como os prazos, obrigações e outras exigências constam nas planilhas de especificações e minuta da ata de registro de preços que seguem em anexo.</w:t>
      </w:r>
    </w:p>
    <w:p>
      <w:pPr>
        <w:pStyle w:val="Normal"/>
        <w:tabs>
          <w:tab w:val="clear" w:pos="709"/>
          <w:tab w:val="left" w:pos="993" w:leader="none"/>
          <w:tab w:val="left" w:pos="1418" w:leader="none"/>
        </w:tabs>
        <w:ind w:firstLine="10" w:right="-142"/>
        <w:jc w:val="both"/>
        <w:rPr>
          <w:sz w:val="20"/>
          <w:szCs w:val="20"/>
        </w:rPr>
      </w:pPr>
      <w:r>
        <w:rPr>
          <w:rFonts w:eastAsia="Batang;바탕" w:cs="Verdana" w:ascii="Verdana" w:hAnsi="Verdana"/>
          <w:b/>
          <w:sz w:val="20"/>
          <w:szCs w:val="20"/>
          <w:u w:val="single"/>
        </w:rPr>
        <w:t>15.2 – Retirada da ordem de fornecimento.</w:t>
      </w:r>
    </w:p>
    <w:p>
      <w:pPr>
        <w:pStyle w:val="Normal"/>
        <w:tabs>
          <w:tab w:val="clear" w:pos="709"/>
          <w:tab w:val="left" w:pos="993" w:leader="none"/>
          <w:tab w:val="left" w:pos="1418" w:leader="none"/>
        </w:tabs>
        <w:ind w:firstLine="10" w:right="-142"/>
        <w:jc w:val="both"/>
        <w:rPr>
          <w:sz w:val="20"/>
          <w:szCs w:val="20"/>
        </w:rPr>
      </w:pPr>
      <w:r>
        <w:rPr>
          <w:rFonts w:eastAsia="Batang;바탕" w:cs="Verdana" w:ascii="Verdana" w:hAnsi="Verdana"/>
          <w:b/>
          <w:sz w:val="20"/>
          <w:szCs w:val="20"/>
        </w:rPr>
        <w:t>a)</w:t>
      </w:r>
      <w:r>
        <w:rPr>
          <w:rFonts w:eastAsia="Batang;바탕" w:cs="Verdana" w:ascii="Verdana" w:hAnsi="Verdana"/>
          <w:sz w:val="20"/>
          <w:szCs w:val="20"/>
        </w:rPr>
        <w:t xml:space="preserve"> Após o registro dos preços, a medida das necessidades da Secretaria requisitante a Prefeitura Municipal de São Gabriel da Palha, por intermédio do Departamento de Compras convocará a(s) licitante(s) vencedora(s) para retirar a respectiva Ordem de Serviço referente à presente Ata.</w:t>
      </w:r>
    </w:p>
    <w:p>
      <w:pPr>
        <w:pStyle w:val="Normal"/>
        <w:tabs>
          <w:tab w:val="clear" w:pos="709"/>
          <w:tab w:val="left" w:pos="993" w:leader="none"/>
          <w:tab w:val="left" w:pos="1418" w:leader="none"/>
        </w:tabs>
        <w:ind w:firstLine="10" w:right="-142"/>
        <w:jc w:val="both"/>
        <w:rPr>
          <w:sz w:val="20"/>
          <w:szCs w:val="20"/>
        </w:rPr>
      </w:pPr>
      <w:r>
        <w:rPr>
          <w:rFonts w:eastAsia="Batang;바탕" w:cs="Verdana" w:ascii="Verdana" w:hAnsi="Verdana"/>
          <w:b/>
          <w:sz w:val="20"/>
          <w:szCs w:val="20"/>
        </w:rPr>
        <w:t xml:space="preserve">b) </w:t>
      </w:r>
      <w:r>
        <w:rPr>
          <w:rFonts w:eastAsia="Batang;바탕" w:cs="Verdana" w:ascii="Verdana" w:hAnsi="Verdana"/>
          <w:sz w:val="20"/>
          <w:szCs w:val="20"/>
        </w:rPr>
        <w:t>A Ordem de serviço deverá ser retirada no máximo até o encerramento do expediente do primeiro dia útil subsequente à data de sua emissão.</w:t>
      </w:r>
    </w:p>
    <w:p>
      <w:pPr>
        <w:pStyle w:val="Normal"/>
        <w:tabs>
          <w:tab w:val="clear" w:pos="709"/>
          <w:tab w:val="left" w:pos="993" w:leader="none"/>
          <w:tab w:val="left" w:pos="1418" w:leader="none"/>
        </w:tabs>
        <w:spacing w:lineRule="auto" w:line="276"/>
        <w:ind w:firstLine="10" w:right="-142"/>
        <w:jc w:val="both"/>
        <w:rPr>
          <w:rFonts w:ascii="Verdana" w:hAnsi="Verdana" w:cs="Verdana"/>
          <w:sz w:val="20"/>
          <w:szCs w:val="20"/>
        </w:rPr>
      </w:pPr>
      <w:r>
        <w:rPr>
          <w:rFonts w:cs="Verdana" w:ascii="Verdana" w:hAnsi="Verdana"/>
          <w:b/>
          <w:sz w:val="20"/>
          <w:szCs w:val="20"/>
        </w:rPr>
        <w:t>c)</w:t>
      </w:r>
      <w:r>
        <w:rPr>
          <w:rFonts w:cs="Verdana" w:ascii="Verdana" w:hAnsi="Verdana"/>
          <w:sz w:val="20"/>
          <w:szCs w:val="20"/>
        </w:rPr>
        <w:t xml:space="preserve"> No caso do licitante vencedor, não retirar a Ordem de Serviço no prazo estabelecido no item anterior, aplicar-se-á as sanções previstas no inciso XVI, do art. 4º, da Lei nº 10.520/02, além de outras mais previstas em legislação pertinente.</w:t>
      </w:r>
    </w:p>
    <w:p>
      <w:pPr>
        <w:pStyle w:val="Normal"/>
        <w:tabs>
          <w:tab w:val="clear" w:pos="709"/>
          <w:tab w:val="left" w:pos="993" w:leader="none"/>
          <w:tab w:val="left" w:pos="1418" w:leader="none"/>
        </w:tabs>
        <w:spacing w:lineRule="auto" w:line="276"/>
        <w:ind w:firstLine="10" w:right="0"/>
        <w:jc w:val="both"/>
        <w:rPr>
          <w:rFonts w:ascii="Verdana" w:hAnsi="Verdana" w:cs="Verdana"/>
          <w:sz w:val="20"/>
          <w:szCs w:val="20"/>
        </w:rPr>
      </w:pPr>
      <w:r>
        <w:rPr>
          <w:rFonts w:cs="Verdana" w:ascii="Verdana" w:hAnsi="Verdana"/>
          <w:sz w:val="20"/>
          <w:szCs w:val="20"/>
        </w:rPr>
      </w:r>
    </w:p>
    <w:p>
      <w:pPr>
        <w:pStyle w:val="Normal"/>
        <w:tabs>
          <w:tab w:val="clear" w:pos="709"/>
          <w:tab w:val="left" w:pos="-414" w:leader="none"/>
          <w:tab w:val="left" w:pos="0" w:leader="none"/>
          <w:tab w:val="left" w:pos="306" w:leader="none"/>
          <w:tab w:val="left" w:pos="1020" w:leader="none"/>
          <w:tab w:val="left" w:pos="1926" w:leader="none"/>
          <w:tab w:val="left" w:pos="2466" w:leader="none"/>
          <w:tab w:val="left" w:pos="283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ind w:right="-142"/>
        <w:jc w:val="center"/>
        <w:rPr>
          <w:rFonts w:ascii="Verdana" w:hAnsi="Verdana" w:cs="Verdana"/>
          <w:b/>
          <w:iCs/>
          <w:sz w:val="20"/>
          <w:szCs w:val="20"/>
        </w:rPr>
      </w:pPr>
      <w:r>
        <w:rPr>
          <w:rFonts w:eastAsia="Batang;바탕" w:cs="Verdana" w:ascii="Verdana" w:hAnsi="Verdana"/>
          <w:b/>
          <w:sz w:val="20"/>
          <w:szCs w:val="20"/>
          <w:u w:val="single"/>
        </w:rPr>
        <w:t>XVI – DA PRESTAÇÃO DE SERVIÇOS, PAGAMENTO E PENALIDADES</w:t>
      </w:r>
    </w:p>
    <w:p>
      <w:pPr>
        <w:pStyle w:val="Normal"/>
        <w:spacing w:lineRule="auto" w:line="276"/>
        <w:jc w:val="both"/>
        <w:rPr>
          <w:rFonts w:ascii="Verdana" w:hAnsi="Verdana" w:cs="Verdana"/>
          <w:b/>
          <w:iCs/>
          <w:sz w:val="20"/>
          <w:szCs w:val="20"/>
          <w:u w:val="single"/>
        </w:rPr>
      </w:pPr>
      <w:r>
        <w:rPr>
          <w:rFonts w:cs="Verdana" w:ascii="Verdana" w:hAnsi="Verdana"/>
          <w:b/>
          <w:iCs/>
          <w:sz w:val="20"/>
          <w:szCs w:val="20"/>
        </w:rPr>
        <w:t>16.1 –</w:t>
      </w:r>
      <w:r>
        <w:rPr>
          <w:rFonts w:cs="Verdana" w:ascii="Verdana" w:hAnsi="Verdana"/>
          <w:iCs/>
          <w:sz w:val="20"/>
          <w:szCs w:val="20"/>
        </w:rPr>
        <w:t xml:space="preserve"> Todas as regras pertinentes à entrega, pagamento e penalidades constam na minuta da ata que segue em anexo a este instrumento convocatório.</w:t>
      </w:r>
    </w:p>
    <w:p>
      <w:pPr>
        <w:pStyle w:val="Normal"/>
        <w:spacing w:lineRule="auto" w:line="276"/>
        <w:jc w:val="center"/>
        <w:rPr>
          <w:rFonts w:ascii="Verdana" w:hAnsi="Verdana" w:cs="Verdana"/>
          <w:b/>
          <w:iCs/>
          <w:sz w:val="20"/>
          <w:szCs w:val="20"/>
          <w:u w:val="single"/>
        </w:rPr>
      </w:pPr>
      <w:r>
        <w:rPr>
          <w:rFonts w:cs="Verdana" w:ascii="Verdana" w:hAnsi="Verdana"/>
          <w:b/>
          <w:iCs/>
          <w:sz w:val="20"/>
          <w:szCs w:val="20"/>
          <w:u w:val="single"/>
        </w:rPr>
      </w:r>
    </w:p>
    <w:p>
      <w:pPr>
        <w:pStyle w:val="Normal"/>
        <w:spacing w:lineRule="auto" w:line="276"/>
        <w:jc w:val="center"/>
        <w:rPr>
          <w:rFonts w:ascii="Verdana" w:hAnsi="Verdana" w:cs="Verdana"/>
          <w:b/>
          <w:iCs/>
          <w:sz w:val="20"/>
          <w:szCs w:val="20"/>
          <w:u w:val="single"/>
        </w:rPr>
      </w:pPr>
      <w:r>
        <w:rPr>
          <w:rFonts w:cs="Verdana" w:ascii="Verdana" w:hAnsi="Verdana"/>
          <w:b/>
          <w:iCs/>
          <w:sz w:val="20"/>
          <w:szCs w:val="20"/>
          <w:u w:val="single"/>
        </w:rPr>
      </w:r>
    </w:p>
    <w:p>
      <w:pPr>
        <w:pStyle w:val="Normal"/>
        <w:spacing w:lineRule="auto" w:line="276"/>
        <w:jc w:val="center"/>
        <w:rPr>
          <w:rFonts w:ascii="Verdana" w:hAnsi="Verdana" w:cs="Verdana"/>
          <w:b/>
          <w:iCs/>
          <w:sz w:val="20"/>
          <w:szCs w:val="20"/>
          <w:u w:val="single"/>
        </w:rPr>
      </w:pPr>
      <w:r>
        <w:rPr>
          <w:rFonts w:cs="Verdana" w:ascii="Verdana" w:hAnsi="Verdana"/>
          <w:b/>
          <w:iCs/>
          <w:sz w:val="20"/>
          <w:szCs w:val="20"/>
          <w:u w:val="single"/>
        </w:rPr>
      </w:r>
    </w:p>
    <w:p>
      <w:pPr>
        <w:pStyle w:val="Normal"/>
        <w:spacing w:lineRule="auto" w:line="276"/>
        <w:jc w:val="center"/>
        <w:rPr>
          <w:rFonts w:ascii="Verdana" w:hAnsi="Verdana" w:cs="Verdana"/>
          <w:b/>
          <w:iCs/>
          <w:sz w:val="20"/>
          <w:szCs w:val="20"/>
        </w:rPr>
      </w:pPr>
      <w:r>
        <w:rPr>
          <w:rFonts w:cs="Verdana" w:ascii="Verdana" w:hAnsi="Verdana"/>
          <w:b/>
          <w:iCs/>
          <w:sz w:val="20"/>
          <w:szCs w:val="20"/>
          <w:u w:val="single"/>
        </w:rPr>
        <w:t>XVII – DAS OBRIGAÇÕES</w:t>
      </w:r>
    </w:p>
    <w:p>
      <w:pPr>
        <w:pStyle w:val="Normal"/>
        <w:spacing w:lineRule="auto" w:line="276"/>
        <w:jc w:val="both"/>
        <w:rPr>
          <w:rFonts w:ascii="Verdana" w:hAnsi="Verdana" w:cs="Verdana"/>
          <w:sz w:val="20"/>
          <w:szCs w:val="20"/>
        </w:rPr>
      </w:pPr>
      <w:r>
        <w:rPr>
          <w:rFonts w:cs="Verdana" w:ascii="Verdana" w:hAnsi="Verdana"/>
          <w:b/>
          <w:iCs/>
          <w:sz w:val="20"/>
          <w:szCs w:val="20"/>
        </w:rPr>
        <w:t xml:space="preserve">17.1 – </w:t>
      </w:r>
      <w:r>
        <w:rPr>
          <w:rFonts w:cs="Verdana" w:ascii="Verdana" w:hAnsi="Verdana"/>
          <w:iCs/>
          <w:sz w:val="20"/>
          <w:szCs w:val="20"/>
        </w:rPr>
        <w:t>Todas as regras pertinentes às obrigações relativas ao fornecimento objeto desta licitação constam na minuta da ata que segue em anexo a este instrumento convocatório.</w:t>
      </w:r>
    </w:p>
    <w:p>
      <w:pPr>
        <w:pStyle w:val="Normal"/>
        <w:spacing w:lineRule="auto" w:line="276"/>
        <w:jc w:val="center"/>
        <w:rPr>
          <w:rFonts w:ascii="Verdana" w:hAnsi="Verdana" w:cs="Verdana"/>
          <w:sz w:val="20"/>
          <w:szCs w:val="20"/>
        </w:rPr>
      </w:pPr>
      <w:r>
        <w:rPr>
          <w:rFonts w:cs="Verdana" w:ascii="Verdana" w:hAnsi="Verdana"/>
          <w:sz w:val="20"/>
          <w:szCs w:val="20"/>
        </w:rPr>
      </w:r>
    </w:p>
    <w:p>
      <w:pPr>
        <w:pStyle w:val="Normal"/>
        <w:spacing w:lineRule="auto" w:line="276"/>
        <w:jc w:val="center"/>
        <w:rPr>
          <w:rFonts w:ascii="Verdana" w:hAnsi="Verdana" w:cs="Verdana"/>
          <w:b/>
          <w:sz w:val="20"/>
          <w:szCs w:val="20"/>
        </w:rPr>
      </w:pPr>
      <w:r>
        <w:rPr>
          <w:rFonts w:eastAsia="Batang;바탕" w:cs="Verdana" w:ascii="Verdana" w:hAnsi="Verdana"/>
          <w:b/>
          <w:sz w:val="20"/>
          <w:szCs w:val="20"/>
          <w:u w:val="single"/>
        </w:rPr>
        <w:t xml:space="preserve">XVIII – </w:t>
      </w:r>
      <w:r>
        <w:rPr>
          <w:rFonts w:cs="Verdana" w:ascii="Verdana" w:hAnsi="Verdana"/>
          <w:b/>
          <w:bCs/>
          <w:sz w:val="20"/>
          <w:szCs w:val="20"/>
          <w:u w:val="single"/>
        </w:rPr>
        <w:t>DAS SANÇÕES ADMINISTRATIVAS</w:t>
      </w:r>
    </w:p>
    <w:p>
      <w:pPr>
        <w:pStyle w:val="Normal"/>
        <w:numPr>
          <w:ilvl w:val="0"/>
          <w:numId w:val="5"/>
        </w:numPr>
        <w:spacing w:lineRule="auto" w:line="276"/>
        <w:jc w:val="both"/>
        <w:rPr>
          <w:rFonts w:ascii="Verdana" w:hAnsi="Verdana" w:cs="Verdana"/>
          <w:sz w:val="20"/>
          <w:szCs w:val="20"/>
        </w:rPr>
      </w:pPr>
      <w:r>
        <w:rPr>
          <w:rFonts w:cs="Verdana" w:ascii="Verdana" w:hAnsi="Verdana"/>
          <w:b/>
          <w:sz w:val="20"/>
          <w:szCs w:val="20"/>
        </w:rPr>
        <w:t>18.1</w:t>
      </w:r>
      <w:r>
        <w:rPr>
          <w:rFonts w:cs="Verdana" w:ascii="Verdana" w:hAnsi="Verdana"/>
          <w:sz w:val="20"/>
          <w:szCs w:val="20"/>
        </w:rPr>
        <w:t xml:space="preserve"> </w:t>
      </w:r>
      <w:r>
        <w:rPr>
          <w:rFonts w:cs="Verdana" w:ascii="Verdana" w:hAnsi="Verdana"/>
          <w:b/>
          <w:sz w:val="20"/>
          <w:szCs w:val="20"/>
        </w:rPr>
        <w:t>–</w:t>
      </w:r>
      <w:r>
        <w:rPr>
          <w:rFonts w:cs="Verdana" w:ascii="Verdana" w:hAnsi="Verdana"/>
          <w:sz w:val="20"/>
          <w:szCs w:val="20"/>
        </w:rPr>
        <w:t xml:space="preserve"> A licitante vencedora que não mantiver a proposta, não </w:t>
      </w:r>
      <w:r>
        <w:rPr>
          <w:rFonts w:eastAsia="Batang;바탕" w:cs="Verdana" w:ascii="Verdana" w:hAnsi="Verdana"/>
          <w:sz w:val="20"/>
          <w:szCs w:val="20"/>
        </w:rPr>
        <w:t xml:space="preserve">cumprir rigorosamente as condições estabelecidas para o fornecimento do objeto licitado, </w:t>
      </w:r>
      <w:r>
        <w:rPr>
          <w:rFonts w:cs="Verdana" w:ascii="Verdana" w:hAnsi="Verdana"/>
          <w:sz w:val="20"/>
          <w:szCs w:val="20"/>
        </w:rPr>
        <w:t xml:space="preserve">comportar-se de modo inidôneo, fizer declaração falsa ou cometer fraude fiscal, garantido o contraditório e ampla defesa, estará sujeita </w:t>
      </w:r>
      <w:r>
        <w:rPr>
          <w:rFonts w:eastAsia="Batang;바탕" w:cs="Verdana" w:ascii="Verdana" w:hAnsi="Verdana"/>
          <w:sz w:val="20"/>
          <w:szCs w:val="20"/>
        </w:rPr>
        <w:t xml:space="preserve">às penalidades constantes </w:t>
      </w:r>
      <w:r>
        <w:rPr>
          <w:rFonts w:eastAsia="Batang;바탕" w:cs="Verdana" w:ascii="Verdana" w:hAnsi="Verdana"/>
          <w:b/>
          <w:sz w:val="20"/>
          <w:szCs w:val="20"/>
          <w:u w:val="single"/>
        </w:rPr>
        <w:t>do artigo 7º e 9º da Lei 10.520/02 c/c com os artigos 155 a 163 da Lei 14.133/2021 consolidada;</w:t>
      </w:r>
    </w:p>
    <w:p>
      <w:pPr>
        <w:pStyle w:val="Normal"/>
        <w:numPr>
          <w:ilvl w:val="0"/>
          <w:numId w:val="6"/>
        </w:numPr>
        <w:tabs>
          <w:tab w:val="clear" w:pos="709"/>
          <w:tab w:val="left" w:pos="298" w:leader="none"/>
        </w:tabs>
        <w:spacing w:lineRule="auto" w:line="276"/>
        <w:ind w:hanging="4" w:left="14" w:right="0"/>
        <w:jc w:val="both"/>
        <w:rPr>
          <w:rFonts w:ascii="Verdana" w:hAnsi="Verdana" w:cs="Verdana"/>
          <w:b/>
          <w:sz w:val="20"/>
          <w:szCs w:val="20"/>
        </w:rPr>
      </w:pPr>
      <w:r>
        <w:rPr>
          <w:rFonts w:cs="Verdana" w:ascii="Verdana" w:hAnsi="Verdana"/>
          <w:sz w:val="20"/>
          <w:szCs w:val="20"/>
        </w:rPr>
        <w:t>As penalidades serão aplicadas, e no caso de suspensão de licitar, o licitante deverá ser descredenciado por no máximo 05 (cinco) anos, sem prejuízo das multas previstas no Edital e das demais cominações legais.</w:t>
      </w:r>
    </w:p>
    <w:p>
      <w:pPr>
        <w:pStyle w:val="Normal"/>
        <w:spacing w:lineRule="auto" w:line="276"/>
        <w:jc w:val="both"/>
        <w:rPr>
          <w:rFonts w:ascii="Verdana" w:hAnsi="Verdana" w:eastAsia="Batang;바탕" w:cs="Verdana"/>
          <w:b/>
          <w:sz w:val="20"/>
          <w:szCs w:val="20"/>
        </w:rPr>
      </w:pPr>
      <w:r>
        <w:rPr>
          <w:rFonts w:cs="Verdana" w:ascii="Verdana" w:hAnsi="Verdana"/>
          <w:b/>
          <w:sz w:val="20"/>
          <w:szCs w:val="20"/>
        </w:rPr>
        <w:t>18.2</w:t>
      </w:r>
      <w:r>
        <w:rPr>
          <w:rFonts w:cs="Verdana" w:ascii="Verdana" w:hAnsi="Verdana"/>
          <w:sz w:val="20"/>
          <w:szCs w:val="20"/>
        </w:rPr>
        <w:t xml:space="preserve"> – </w:t>
      </w:r>
      <w:r>
        <w:rPr>
          <w:rFonts w:eastAsia="Batang;바탕" w:cs="Verdana" w:ascii="Verdana" w:hAnsi="Verdana"/>
          <w:sz w:val="20"/>
          <w:szCs w:val="20"/>
          <w:u w:val="single"/>
        </w:rPr>
        <w:t xml:space="preserve">O caso de </w:t>
      </w:r>
      <w:r>
        <w:rPr>
          <w:rFonts w:eastAsia="Batang;바탕" w:cs="Verdana" w:ascii="Verdana" w:hAnsi="Verdana"/>
          <w:b/>
          <w:sz w:val="20"/>
          <w:szCs w:val="20"/>
          <w:u w:val="single"/>
        </w:rPr>
        <w:t xml:space="preserve">SUSPENSÃO </w:t>
      </w:r>
      <w:r>
        <w:rPr>
          <w:rFonts w:cs="Verdana" w:ascii="Verdana" w:hAnsi="Verdana"/>
          <w:sz w:val="20"/>
          <w:szCs w:val="20"/>
          <w:u w:val="single"/>
        </w:rPr>
        <w:t>de participação em licitação e impedimento de contratar com a Administração</w:t>
      </w:r>
      <w:r>
        <w:rPr>
          <w:rFonts w:eastAsia="Batang;바탕" w:cs="Verdana" w:ascii="Verdana" w:hAnsi="Verdana"/>
          <w:sz w:val="20"/>
          <w:szCs w:val="20"/>
          <w:u w:val="single"/>
        </w:rPr>
        <w:t xml:space="preserve"> será deliberado pela autoridade superior.</w:t>
      </w:r>
    </w:p>
    <w:p>
      <w:pPr>
        <w:pStyle w:val="Normal"/>
        <w:spacing w:lineRule="auto" w:line="276"/>
        <w:jc w:val="both"/>
        <w:rPr>
          <w:rFonts w:ascii="Verdana" w:hAnsi="Verdana" w:eastAsia="Batang;바탕" w:cs="Verdana"/>
          <w:b/>
          <w:sz w:val="20"/>
          <w:szCs w:val="20"/>
        </w:rPr>
      </w:pPr>
      <w:r>
        <w:rPr>
          <w:rFonts w:eastAsia="Batang;바탕" w:cs="Verdana" w:ascii="Verdana" w:hAnsi="Verdana"/>
          <w:b/>
          <w:sz w:val="20"/>
          <w:szCs w:val="20"/>
        </w:rPr>
        <w:t xml:space="preserve">18.3 – </w:t>
      </w:r>
      <w:r>
        <w:rPr>
          <w:rFonts w:eastAsia="Batang;바탕" w:cs="Verdana" w:ascii="Verdana" w:hAnsi="Verdana"/>
          <w:sz w:val="20"/>
          <w:szCs w:val="20"/>
        </w:rPr>
        <w:t xml:space="preserve">A licitante inadimplente poderá ser também </w:t>
      </w:r>
      <w:r>
        <w:rPr>
          <w:rFonts w:cs="Verdana" w:ascii="Verdana" w:hAnsi="Verdana"/>
          <w:b/>
          <w:sz w:val="20"/>
          <w:szCs w:val="20"/>
        </w:rPr>
        <w:t>DECLARADA INIDÔNEA</w:t>
      </w:r>
      <w:r>
        <w:rPr>
          <w:rFonts w:cs="Verdana" w:ascii="Verdana" w:hAnsi="Verdana"/>
          <w:sz w:val="20"/>
          <w:szCs w:val="20"/>
        </w:rPr>
        <w:t xml:space="preserve"> para licitar ou contratar com a Administração Pública enquanto perdurarem os motivos determinantes da punição ou até que seja promovida a reabilitação perante a própria autoridade que aplicou a penalidade, ficando a aplicação desta sanção a cargo da autoridade competente.</w:t>
      </w:r>
    </w:p>
    <w:p>
      <w:pPr>
        <w:pStyle w:val="Recuodecorpodetexto31"/>
        <w:spacing w:lineRule="auto" w:line="276" w:before="0" w:after="0"/>
        <w:ind w:left="0" w:right="-37"/>
        <w:jc w:val="both"/>
        <w:rPr>
          <w:rFonts w:ascii="Verdana" w:hAnsi="Verdana" w:cs="Verdana"/>
          <w:sz w:val="20"/>
          <w:szCs w:val="20"/>
        </w:rPr>
      </w:pPr>
      <w:r>
        <w:rPr>
          <w:rFonts w:eastAsia="Batang;바탕" w:cs="Verdana" w:ascii="Verdana" w:hAnsi="Verdana"/>
          <w:b/>
          <w:sz w:val="20"/>
          <w:szCs w:val="20"/>
        </w:rPr>
        <w:t xml:space="preserve">18.4 – </w:t>
      </w:r>
      <w:r>
        <w:rPr>
          <w:rFonts w:cs="Verdana" w:ascii="Verdana" w:hAnsi="Verdana"/>
          <w:sz w:val="20"/>
          <w:szCs w:val="20"/>
        </w:rPr>
        <w:t>As sanções previstas neste capítulo poderão ser aplicadas combinado as demais sanções, respeitado o direito de defesa do interessado, no respectivo processo, dentro do prazo de 05(cinco) dias úteis;</w:t>
      </w:r>
    </w:p>
    <w:p>
      <w:pPr>
        <w:pStyle w:val="Normal"/>
        <w:tabs>
          <w:tab w:val="clear" w:pos="709"/>
          <w:tab w:val="left" w:pos="-414" w:leader="none"/>
          <w:tab w:val="left" w:pos="0" w:leader="none"/>
          <w:tab w:val="left" w:pos="1020" w:leader="none"/>
          <w:tab w:val="left" w:pos="1926"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center"/>
        <w:rPr>
          <w:rFonts w:ascii="Verdana" w:hAnsi="Verdana" w:cs="Verdana"/>
          <w:sz w:val="20"/>
          <w:szCs w:val="20"/>
        </w:rPr>
      </w:pPr>
      <w:r>
        <w:rPr>
          <w:rFonts w:cs="Verdana" w:ascii="Verdana" w:hAnsi="Verdana"/>
          <w:sz w:val="20"/>
          <w:szCs w:val="20"/>
        </w:rPr>
      </w:r>
    </w:p>
    <w:p>
      <w:pPr>
        <w:pStyle w:val="Normal"/>
        <w:tabs>
          <w:tab w:val="clear" w:pos="709"/>
          <w:tab w:val="left" w:pos="-414" w:leader="none"/>
          <w:tab w:val="left" w:pos="0" w:leader="none"/>
          <w:tab w:val="left" w:pos="1020" w:leader="none"/>
          <w:tab w:val="left" w:pos="1926"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jc w:val="center"/>
        <w:rPr>
          <w:rFonts w:ascii="Verdana" w:hAnsi="Verdana" w:eastAsia="Batang;바탕" w:cs="Verdana"/>
          <w:sz w:val="20"/>
          <w:szCs w:val="20"/>
        </w:rPr>
      </w:pPr>
      <w:r>
        <w:rPr>
          <w:rFonts w:eastAsia="Batang;바탕" w:cs="Verdana" w:ascii="Verdana" w:hAnsi="Verdana"/>
          <w:b/>
          <w:sz w:val="20"/>
          <w:szCs w:val="20"/>
          <w:u w:val="single"/>
        </w:rPr>
        <w:t>XIX – DAS DISPOSIÇÕES GERAIS</w:t>
      </w:r>
    </w:p>
    <w:p>
      <w:pPr>
        <w:pStyle w:val="Normal"/>
        <w:numPr>
          <w:ilvl w:val="1"/>
          <w:numId w:val="10"/>
        </w:numPr>
        <w:tabs>
          <w:tab w:val="clear" w:pos="709"/>
          <w:tab w:val="left" w:pos="-414" w:leader="none"/>
          <w:tab w:val="left" w:pos="0" w:leader="none"/>
          <w:tab w:val="left" w:pos="567" w:leader="none"/>
          <w:tab w:val="left" w:pos="1926"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ind w:hanging="0" w:left="0" w:right="0"/>
        <w:jc w:val="both"/>
        <w:rPr>
          <w:rFonts w:ascii="Verdana" w:hAnsi="Verdana" w:eastAsia="Batang;바탕" w:cs="Verdana"/>
          <w:sz w:val="20"/>
          <w:szCs w:val="20"/>
        </w:rPr>
      </w:pPr>
      <w:r>
        <w:rPr>
          <w:rFonts w:eastAsia="Batang;바탕" w:cs="Verdana" w:ascii="Verdana" w:hAnsi="Verdana"/>
          <w:sz w:val="20"/>
          <w:szCs w:val="20"/>
        </w:rPr>
        <w:t>Ao apresentar proposta, fica subentendido que o licitante conhece todas as condições estabelecidas no presente edital, e seus anexos.</w:t>
      </w:r>
    </w:p>
    <w:p>
      <w:pPr>
        <w:pStyle w:val="Normal"/>
        <w:numPr>
          <w:ilvl w:val="1"/>
          <w:numId w:val="10"/>
        </w:numPr>
        <w:tabs>
          <w:tab w:val="clear" w:pos="709"/>
          <w:tab w:val="left" w:pos="-414" w:leader="none"/>
          <w:tab w:val="left" w:pos="0" w:leader="none"/>
          <w:tab w:val="left" w:pos="567" w:leader="none"/>
          <w:tab w:val="left" w:pos="1926"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ind w:hanging="0" w:left="0" w:right="0"/>
        <w:jc w:val="both"/>
        <w:rPr>
          <w:rFonts w:ascii="Verdana" w:hAnsi="Verdana" w:eastAsia="Batang;바탕" w:cs="Verdana"/>
          <w:sz w:val="20"/>
          <w:szCs w:val="20"/>
        </w:rPr>
      </w:pPr>
      <w:r>
        <w:rPr>
          <w:rFonts w:eastAsia="Batang;바탕" w:cs="Verdana" w:ascii="Verdana" w:hAnsi="Verdana"/>
          <w:sz w:val="20"/>
          <w:szCs w:val="20"/>
        </w:rPr>
        <w:t>A Prefeitura Municipal de São Gabriel da Palha reserva-se o direito de efetuar diligências com a finalidade de verificação da autenticidade e veracidade dos documentos e das informações apresentadas nas propostas.</w:t>
      </w:r>
    </w:p>
    <w:p>
      <w:pPr>
        <w:pStyle w:val="Normal"/>
        <w:numPr>
          <w:ilvl w:val="1"/>
          <w:numId w:val="10"/>
        </w:numPr>
        <w:tabs>
          <w:tab w:val="clear" w:pos="709"/>
          <w:tab w:val="left" w:pos="-414" w:leader="none"/>
          <w:tab w:val="left" w:pos="0" w:leader="none"/>
          <w:tab w:val="left" w:pos="567" w:leader="none"/>
          <w:tab w:val="left" w:pos="1926"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ind w:hanging="0" w:left="0" w:right="0"/>
        <w:jc w:val="both"/>
        <w:rPr>
          <w:rFonts w:ascii="Verdana" w:hAnsi="Verdana" w:eastAsia="Batang;바탕" w:cs="Verdana"/>
          <w:sz w:val="20"/>
          <w:szCs w:val="20"/>
        </w:rPr>
      </w:pPr>
      <w:r>
        <w:rPr>
          <w:rFonts w:eastAsia="Batang;바탕" w:cs="Verdana" w:ascii="Verdana" w:hAnsi="Verdana"/>
          <w:sz w:val="20"/>
          <w:szCs w:val="20"/>
        </w:rPr>
        <w:t>O licitante é responsável pela fidelidade e legitimidade das informações e dos documentos apresentados.</w:t>
      </w:r>
    </w:p>
    <w:p>
      <w:pPr>
        <w:pStyle w:val="Normal"/>
        <w:numPr>
          <w:ilvl w:val="1"/>
          <w:numId w:val="10"/>
        </w:numPr>
        <w:tabs>
          <w:tab w:val="clear" w:pos="709"/>
          <w:tab w:val="left" w:pos="-414" w:leader="none"/>
          <w:tab w:val="left" w:pos="0" w:leader="none"/>
          <w:tab w:val="left" w:pos="567" w:leader="none"/>
          <w:tab w:val="left" w:pos="1926"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ind w:hanging="0" w:left="0" w:right="0"/>
        <w:jc w:val="both"/>
        <w:rPr>
          <w:rFonts w:ascii="Verdana" w:hAnsi="Verdana" w:eastAsia="Batang;바탕" w:cs="Verdana"/>
          <w:sz w:val="20"/>
          <w:szCs w:val="20"/>
        </w:rPr>
      </w:pPr>
      <w:r>
        <w:rPr>
          <w:rFonts w:eastAsia="Batang;바탕" w:cs="Verdana" w:ascii="Verdana" w:hAnsi="Verdana"/>
          <w:sz w:val="20"/>
          <w:szCs w:val="20"/>
        </w:rPr>
        <w:t>Todas as declarações, proposta e outros documentos necessários a participação da licitante, deverão ser assinados por responsável legal da empresa, devidamente comprovado através de documentos exigidos neste edital, sob pena de seu não credenciamento, sua desclassificação ou inabilitação.</w:t>
      </w:r>
    </w:p>
    <w:p>
      <w:pPr>
        <w:pStyle w:val="Normal"/>
        <w:numPr>
          <w:ilvl w:val="1"/>
          <w:numId w:val="10"/>
        </w:numPr>
        <w:tabs>
          <w:tab w:val="clear" w:pos="709"/>
          <w:tab w:val="left" w:pos="-414" w:leader="none"/>
          <w:tab w:val="left" w:pos="0" w:leader="none"/>
          <w:tab w:val="left" w:pos="567" w:leader="none"/>
          <w:tab w:val="left" w:pos="1926"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ind w:hanging="0" w:left="0" w:right="0"/>
        <w:jc w:val="both"/>
        <w:rPr>
          <w:rFonts w:ascii="Verdana" w:hAnsi="Verdana" w:eastAsia="Batang;바탕" w:cs="Verdana"/>
          <w:sz w:val="20"/>
          <w:szCs w:val="20"/>
        </w:rPr>
      </w:pPr>
      <w:r>
        <w:rPr>
          <w:rFonts w:eastAsia="Batang;바탕" w:cs="Verdana" w:ascii="Verdana" w:hAnsi="Verdana"/>
          <w:sz w:val="20"/>
          <w:szCs w:val="20"/>
        </w:rPr>
        <w:t>O Pregoeiro solicitará, em qualquer época ou oportunidade, informações complementares, se julgar necessário.</w:t>
      </w:r>
    </w:p>
    <w:p>
      <w:pPr>
        <w:pStyle w:val="Normal"/>
        <w:numPr>
          <w:ilvl w:val="1"/>
          <w:numId w:val="10"/>
        </w:numPr>
        <w:tabs>
          <w:tab w:val="clear" w:pos="709"/>
          <w:tab w:val="left" w:pos="-414" w:leader="none"/>
          <w:tab w:val="left" w:pos="0" w:leader="none"/>
          <w:tab w:val="left" w:pos="567" w:leader="none"/>
          <w:tab w:val="left" w:pos="1926"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ind w:hanging="0" w:left="0" w:right="0"/>
        <w:jc w:val="both"/>
        <w:rPr>
          <w:rFonts w:ascii="Verdana" w:hAnsi="Verdana" w:eastAsia="Batang;바탕" w:cs="Verdana"/>
          <w:sz w:val="20"/>
          <w:szCs w:val="20"/>
        </w:rPr>
      </w:pPr>
      <w:r>
        <w:rPr>
          <w:rFonts w:eastAsia="Batang;바탕" w:cs="Verdana" w:ascii="Verdana" w:hAnsi="Verdana"/>
          <w:sz w:val="20"/>
          <w:szCs w:val="20"/>
        </w:rPr>
        <w:t>Poderão ser convidados a colaborar com o Pregoeiro, assessorando-o, quando necessário, profissionais de reconhecida competência técnica, não vinculados direta ou indiretamente a qualquer dos licitantes, bem como qualquer outro servidor desta Prefeitura.</w:t>
      </w:r>
    </w:p>
    <w:p>
      <w:pPr>
        <w:pStyle w:val="Normal"/>
        <w:numPr>
          <w:ilvl w:val="1"/>
          <w:numId w:val="10"/>
        </w:numPr>
        <w:tabs>
          <w:tab w:val="clear" w:pos="709"/>
          <w:tab w:val="left" w:pos="-414" w:leader="none"/>
          <w:tab w:val="left" w:pos="0" w:leader="none"/>
          <w:tab w:val="left" w:pos="567" w:leader="none"/>
          <w:tab w:val="left" w:pos="1926"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ind w:hanging="0" w:left="0" w:right="0"/>
        <w:jc w:val="both"/>
        <w:rPr>
          <w:rFonts w:ascii="Verdana" w:hAnsi="Verdana" w:eastAsia="Batang;바탕" w:cs="Verdana"/>
          <w:sz w:val="20"/>
          <w:szCs w:val="20"/>
        </w:rPr>
      </w:pPr>
      <w:r>
        <w:rPr>
          <w:rFonts w:eastAsia="Batang;바탕" w:cs="Verdana" w:ascii="Verdana" w:hAnsi="Verdana"/>
          <w:sz w:val="20"/>
          <w:szCs w:val="20"/>
        </w:rPr>
        <w:t>Este Edital será regido pelas regras e princípios do direito público, pela Lei nº 10.520/02 e pela Lei nº 14.133/21 com suas alterações, independente da transcrição das normas vigentes.</w:t>
      </w:r>
    </w:p>
    <w:p>
      <w:pPr>
        <w:pStyle w:val="Normal"/>
        <w:numPr>
          <w:ilvl w:val="1"/>
          <w:numId w:val="10"/>
        </w:numPr>
        <w:tabs>
          <w:tab w:val="clear" w:pos="709"/>
          <w:tab w:val="left" w:pos="-414" w:leader="none"/>
          <w:tab w:val="left" w:pos="0" w:leader="none"/>
          <w:tab w:val="left" w:pos="567" w:leader="none"/>
          <w:tab w:val="left" w:pos="1926"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ind w:hanging="0" w:left="0" w:right="0"/>
        <w:jc w:val="both"/>
        <w:rPr>
          <w:rFonts w:ascii="Verdana" w:hAnsi="Verdana" w:eastAsia="Batang;바탕" w:cs="Verdana"/>
          <w:sz w:val="20"/>
          <w:szCs w:val="20"/>
        </w:rPr>
      </w:pPr>
      <w:r>
        <w:rPr>
          <w:rFonts w:eastAsia="Batang;바탕" w:cs="Verdana" w:ascii="Verdana" w:hAnsi="Verdana"/>
          <w:sz w:val="20"/>
          <w:szCs w:val="20"/>
        </w:rPr>
        <w:t>O pregoeiro resolverá os casos omissos com base no ordenamento jurídico vigente.</w:t>
      </w:r>
    </w:p>
    <w:p>
      <w:pPr>
        <w:pStyle w:val="Normal"/>
        <w:numPr>
          <w:ilvl w:val="1"/>
          <w:numId w:val="10"/>
        </w:numPr>
        <w:tabs>
          <w:tab w:val="clear" w:pos="709"/>
          <w:tab w:val="left" w:pos="-414" w:leader="none"/>
          <w:tab w:val="left" w:pos="0" w:leader="none"/>
          <w:tab w:val="left" w:pos="567" w:leader="none"/>
          <w:tab w:val="left" w:pos="1926"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ind w:hanging="0" w:left="0" w:right="0"/>
        <w:jc w:val="both"/>
        <w:rPr>
          <w:rFonts w:ascii="Verdana" w:hAnsi="Verdana" w:eastAsia="Batang;바탕" w:cs="Verdana"/>
          <w:sz w:val="20"/>
          <w:szCs w:val="20"/>
        </w:rPr>
      </w:pPr>
      <w:r>
        <w:rPr>
          <w:rFonts w:eastAsia="Batang;바탕" w:cs="Verdana" w:ascii="Verdana" w:hAnsi="Verdana"/>
          <w:sz w:val="20"/>
          <w:szCs w:val="20"/>
        </w:rPr>
        <w:t>O pregoeiro pode a qualquer tempo negociar o preço com o licitante vencedor a fim de almejar proposta mais vantajosa para a Administração.</w:t>
      </w:r>
    </w:p>
    <w:p>
      <w:pPr>
        <w:pStyle w:val="Normal"/>
        <w:numPr>
          <w:ilvl w:val="1"/>
          <w:numId w:val="10"/>
        </w:numPr>
        <w:tabs>
          <w:tab w:val="left" w:pos="-414" w:leader="none"/>
          <w:tab w:val="left" w:pos="0" w:leader="none"/>
          <w:tab w:val="left" w:pos="567" w:leader="none"/>
          <w:tab w:val="left" w:pos="709"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ind w:hanging="0" w:left="0" w:right="0"/>
        <w:jc w:val="both"/>
        <w:rPr>
          <w:rFonts w:ascii="Verdana" w:hAnsi="Verdana" w:eastAsia="Batang;바탕" w:cs="Verdana"/>
          <w:sz w:val="20"/>
          <w:szCs w:val="20"/>
        </w:rPr>
      </w:pPr>
      <w:r>
        <w:rPr>
          <w:rFonts w:eastAsia="Batang;바탕" w:cs="Verdana" w:ascii="Verdana" w:hAnsi="Verdana"/>
          <w:sz w:val="20"/>
          <w:szCs w:val="20"/>
        </w:rPr>
        <w:t xml:space="preserve">Os termos deste edital são de autoria do Pregoeiro, ressalvando as especificações constantes no </w:t>
      </w:r>
      <w:r>
        <w:rPr>
          <w:rFonts w:eastAsia="Batang;바탕" w:cs="Verdana" w:ascii="Verdana" w:hAnsi="Verdana"/>
          <w:b/>
          <w:sz w:val="20"/>
          <w:szCs w:val="20"/>
        </w:rPr>
        <w:t>ANEXO III – Modelo Orientativo de Proposta</w:t>
      </w:r>
      <w:r>
        <w:rPr>
          <w:rFonts w:eastAsia="Batang;바탕" w:cs="Verdana" w:ascii="Verdana" w:hAnsi="Verdana"/>
          <w:sz w:val="20"/>
          <w:szCs w:val="20"/>
        </w:rPr>
        <w:t>, que constam respeitando com fidelidade às apresentadas pela Secretaria requisitante, não sendo de competência deste Pregoeiro, a oportunidade e conveniência para a escolha do objeto ora licitado.</w:t>
      </w:r>
    </w:p>
    <w:p>
      <w:pPr>
        <w:pStyle w:val="Normal"/>
        <w:numPr>
          <w:ilvl w:val="1"/>
          <w:numId w:val="10"/>
        </w:numPr>
        <w:tabs>
          <w:tab w:val="left" w:pos="-414" w:leader="none"/>
          <w:tab w:val="left" w:pos="0" w:leader="none"/>
          <w:tab w:val="left" w:pos="567" w:leader="none"/>
          <w:tab w:val="left" w:pos="709"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ind w:hanging="0" w:left="0" w:right="0"/>
        <w:jc w:val="both"/>
        <w:rPr>
          <w:rFonts w:ascii="Verdana" w:hAnsi="Verdana" w:eastAsia="Batang;바탕" w:cs="Verdana"/>
          <w:sz w:val="20"/>
          <w:szCs w:val="20"/>
        </w:rPr>
      </w:pPr>
      <w:r>
        <w:rPr>
          <w:rFonts w:eastAsia="Batang;바탕" w:cs="Verdana" w:ascii="Verdana" w:hAnsi="Verdana"/>
          <w:sz w:val="20"/>
          <w:szCs w:val="20"/>
        </w:rPr>
        <w:t>Informações complementares inerentes a este pregão poderão ser obtidas pelos interessados pelo tel.: (27) 3727-1366, ramal 362, de segunda a quinta feira no horário de 12h00min às 18h00min e nas sextas-feiras no horário das 07h00min às 13h00min no endereço mencionado no preâmbulo deste Edital.</w:t>
      </w:r>
    </w:p>
    <w:p>
      <w:pPr>
        <w:pStyle w:val="Normal"/>
        <w:numPr>
          <w:ilvl w:val="1"/>
          <w:numId w:val="10"/>
        </w:numPr>
        <w:tabs>
          <w:tab w:val="left" w:pos="-414" w:leader="none"/>
          <w:tab w:val="left" w:pos="0" w:leader="none"/>
          <w:tab w:val="left" w:pos="567" w:leader="none"/>
          <w:tab w:val="left" w:pos="709"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ind w:hanging="0" w:left="0" w:right="0"/>
        <w:jc w:val="both"/>
        <w:rPr>
          <w:rFonts w:ascii="Verdana" w:hAnsi="Verdana" w:eastAsia="Batang;바탕" w:cs="Verdana"/>
          <w:sz w:val="20"/>
          <w:szCs w:val="20"/>
        </w:rPr>
      </w:pPr>
      <w:r>
        <w:rPr>
          <w:rFonts w:eastAsia="Batang;바탕" w:cs="Verdana" w:ascii="Verdana" w:hAnsi="Verdana"/>
          <w:sz w:val="20"/>
          <w:szCs w:val="20"/>
        </w:rPr>
        <w:t>Fazem parte do presente Edital integrando-o de forma plena, independentemente de transcrição</w:t>
      </w:r>
      <w:r>
        <w:rPr>
          <w:rFonts w:cs="Verdana" w:ascii="Verdana" w:hAnsi="Verdana"/>
          <w:sz w:val="20"/>
          <w:szCs w:val="20"/>
        </w:rPr>
        <w:t>:</w:t>
      </w:r>
    </w:p>
    <w:p>
      <w:pPr>
        <w:pStyle w:val="Normal"/>
        <w:tabs>
          <w:tab w:val="clear" w:pos="709"/>
          <w:tab w:val="left" w:pos="720" w:leader="none"/>
          <w:tab w:val="left" w:pos="910" w:leader="none"/>
        </w:tabs>
        <w:spacing w:lineRule="auto" w:line="276"/>
        <w:jc w:val="both"/>
        <w:rPr>
          <w:rFonts w:ascii="Verdana" w:hAnsi="Verdana" w:eastAsia="Batang;바탕" w:cs="Verdana"/>
          <w:b/>
          <w:sz w:val="20"/>
          <w:szCs w:val="20"/>
        </w:rPr>
      </w:pPr>
      <w:r>
        <w:rPr>
          <w:rFonts w:cs="Verdana" w:ascii="Verdana" w:hAnsi="Verdana"/>
          <w:b/>
          <w:sz w:val="20"/>
          <w:szCs w:val="20"/>
        </w:rPr>
        <w:t xml:space="preserve">a) Anexo I – </w:t>
      </w:r>
      <w:r>
        <w:rPr>
          <w:rFonts w:eastAsia="Batang;바탕" w:cs="Verdana" w:ascii="Verdana" w:hAnsi="Verdana"/>
          <w:sz w:val="20"/>
          <w:szCs w:val="20"/>
        </w:rPr>
        <w:t>Modelo orientativo de Credenciamento;</w:t>
      </w:r>
    </w:p>
    <w:p>
      <w:pPr>
        <w:pStyle w:val="Normal"/>
        <w:tabs>
          <w:tab w:val="clear" w:pos="709"/>
          <w:tab w:val="left" w:pos="-414"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b/>
          <w:sz w:val="20"/>
          <w:szCs w:val="20"/>
        </w:rPr>
      </w:pPr>
      <w:r>
        <w:rPr>
          <w:rFonts w:eastAsia="Batang;바탕" w:cs="Verdana" w:ascii="Verdana" w:hAnsi="Verdana"/>
          <w:b/>
          <w:sz w:val="20"/>
          <w:szCs w:val="20"/>
        </w:rPr>
        <w:t>b) Anexo II</w:t>
      </w:r>
      <w:r>
        <w:rPr>
          <w:rFonts w:eastAsia="Batang;바탕" w:cs="Verdana" w:ascii="Verdana" w:hAnsi="Verdana"/>
          <w:sz w:val="20"/>
          <w:szCs w:val="20"/>
        </w:rPr>
        <w:t xml:space="preserve"> </w:t>
      </w:r>
      <w:r>
        <w:rPr>
          <w:rFonts w:eastAsia="Batang;바탕" w:cs="Verdana" w:ascii="Verdana" w:hAnsi="Verdana"/>
          <w:b/>
          <w:sz w:val="20"/>
          <w:szCs w:val="20"/>
        </w:rPr>
        <w:t>–</w:t>
      </w:r>
      <w:r>
        <w:rPr>
          <w:rFonts w:eastAsia="Batang;바탕" w:cs="Verdana" w:ascii="Verdana" w:hAnsi="Verdana"/>
          <w:sz w:val="20"/>
          <w:szCs w:val="20"/>
        </w:rPr>
        <w:t xml:space="preserve"> Modelo orientativo de Declaração;</w:t>
      </w:r>
    </w:p>
    <w:p>
      <w:pPr>
        <w:pStyle w:val="Normal"/>
        <w:tabs>
          <w:tab w:val="clear" w:pos="709"/>
          <w:tab w:val="left" w:pos="-414"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b/>
          <w:sz w:val="20"/>
          <w:szCs w:val="20"/>
        </w:rPr>
      </w:pPr>
      <w:r>
        <w:rPr>
          <w:rFonts w:eastAsia="Batang;바탕" w:cs="Verdana" w:ascii="Verdana" w:hAnsi="Verdana"/>
          <w:b/>
          <w:sz w:val="20"/>
          <w:szCs w:val="20"/>
        </w:rPr>
        <w:t>c) Anexo III</w:t>
      </w:r>
      <w:r>
        <w:rPr>
          <w:rFonts w:eastAsia="Batang;바탕" w:cs="Verdana" w:ascii="Verdana" w:hAnsi="Verdana"/>
          <w:sz w:val="20"/>
          <w:szCs w:val="20"/>
        </w:rPr>
        <w:t xml:space="preserve"> </w:t>
      </w:r>
      <w:r>
        <w:rPr>
          <w:rFonts w:eastAsia="Batang;바탕" w:cs="Verdana" w:ascii="Verdana" w:hAnsi="Verdana"/>
          <w:b/>
          <w:sz w:val="20"/>
          <w:szCs w:val="20"/>
        </w:rPr>
        <w:t>–</w:t>
      </w:r>
      <w:r>
        <w:rPr>
          <w:rFonts w:eastAsia="Batang;바탕" w:cs="Verdana" w:ascii="Verdana" w:hAnsi="Verdana"/>
          <w:sz w:val="20"/>
          <w:szCs w:val="20"/>
        </w:rPr>
        <w:t xml:space="preserve"> Modelo Orientativo de Proposta;</w:t>
      </w:r>
    </w:p>
    <w:p>
      <w:pPr>
        <w:pStyle w:val="Normal"/>
        <w:tabs>
          <w:tab w:val="clear" w:pos="709"/>
          <w:tab w:val="left" w:pos="-414"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b/>
          <w:bCs/>
          <w:sz w:val="20"/>
          <w:szCs w:val="20"/>
        </w:rPr>
      </w:pPr>
      <w:r>
        <w:rPr>
          <w:rFonts w:eastAsia="Batang;바탕" w:cs="Verdana" w:ascii="Verdana" w:hAnsi="Verdana"/>
          <w:b/>
          <w:sz w:val="20"/>
          <w:szCs w:val="20"/>
        </w:rPr>
        <w:t>d) Anexo IV</w:t>
      </w:r>
      <w:r>
        <w:rPr>
          <w:rFonts w:eastAsia="Batang;바탕" w:cs="Verdana" w:ascii="Verdana" w:hAnsi="Verdana"/>
          <w:sz w:val="20"/>
          <w:szCs w:val="20"/>
        </w:rPr>
        <w:t xml:space="preserve"> – Minuta da Ata de Registro de Preço;</w:t>
      </w:r>
    </w:p>
    <w:p>
      <w:pPr>
        <w:pStyle w:val="Normal"/>
        <w:tabs>
          <w:tab w:val="clear" w:pos="709"/>
          <w:tab w:val="left" w:pos="-414"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Verdana"/>
          <w:b/>
          <w:bCs/>
          <w:sz w:val="20"/>
          <w:szCs w:val="20"/>
        </w:rPr>
      </w:pPr>
      <w:r>
        <w:rPr>
          <w:rFonts w:eastAsia="Batang;바탕" w:cs="Verdana" w:ascii="Verdana" w:hAnsi="Verdana"/>
          <w:b/>
          <w:bCs/>
          <w:sz w:val="20"/>
          <w:szCs w:val="20"/>
        </w:rPr>
        <w:t>e) Anexo V</w:t>
      </w:r>
      <w:r>
        <w:rPr>
          <w:rFonts w:eastAsia="Batang;바탕" w:cs="Verdana" w:ascii="Verdana" w:hAnsi="Verdana"/>
          <w:sz w:val="20"/>
          <w:szCs w:val="20"/>
        </w:rPr>
        <w:t xml:space="preserve"> – Termo de Referência;</w:t>
      </w:r>
    </w:p>
    <w:p>
      <w:pPr>
        <w:pStyle w:val="Normal"/>
        <w:tabs>
          <w:tab w:val="clear" w:pos="709"/>
          <w:tab w:val="left" w:pos="-414"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cs="Verdana"/>
          <w:sz w:val="20"/>
          <w:szCs w:val="20"/>
        </w:rPr>
      </w:pPr>
      <w:r>
        <w:rPr>
          <w:rFonts w:eastAsia="Batang;바탕" w:cs="Verdana" w:ascii="Verdana" w:hAnsi="Verdana"/>
          <w:b/>
          <w:bCs/>
          <w:sz w:val="20"/>
          <w:szCs w:val="20"/>
        </w:rPr>
        <w:t>f) Anexo V-1</w:t>
      </w:r>
      <w:r>
        <w:rPr>
          <w:rFonts w:eastAsia="Batang;바탕" w:cs="Verdana" w:ascii="Verdana" w:hAnsi="Verdana"/>
          <w:sz w:val="20"/>
          <w:szCs w:val="20"/>
        </w:rPr>
        <w:t xml:space="preserve"> – Estudo Técnico Preliminar.</w:t>
      </w:r>
    </w:p>
    <w:p>
      <w:pPr>
        <w:pStyle w:val="Normal"/>
        <w:tabs>
          <w:tab w:val="clear" w:pos="709"/>
          <w:tab w:val="left" w:pos="-414"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spacing w:lineRule="auto" w:line="276"/>
        <w:ind w:right="-142"/>
        <w:jc w:val="both"/>
        <w:rPr>
          <w:rFonts w:ascii="Verdana" w:hAnsi="Verdana" w:cs="Verdana"/>
          <w:sz w:val="20"/>
          <w:szCs w:val="20"/>
        </w:rPr>
      </w:pPr>
      <w:r>
        <w:rPr>
          <w:rFonts w:cs="Verdana" w:ascii="Verdana" w:hAnsi="Verdana"/>
          <w:sz w:val="20"/>
          <w:szCs w:val="20"/>
        </w:rPr>
      </w:r>
    </w:p>
    <w:p>
      <w:pPr>
        <w:pStyle w:val="Normal"/>
        <w:tabs>
          <w:tab w:val="clear" w:pos="709"/>
          <w:tab w:val="left" w:pos="-414" w:leader="none"/>
          <w:tab w:val="left" w:pos="0"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spacing w:lineRule="auto" w:line="276"/>
        <w:ind w:right="-142"/>
        <w:jc w:val="center"/>
        <w:rPr>
          <w:rFonts w:ascii="Verdana" w:hAnsi="Verdana" w:eastAsia="Batang;바탕" w:cs="Verdana"/>
          <w:b/>
          <w:sz w:val="20"/>
          <w:szCs w:val="20"/>
          <w:lang w:eastAsia="en-US"/>
        </w:rPr>
      </w:pPr>
      <w:r>
        <w:rPr>
          <w:rFonts w:eastAsia="Batang;바탕" w:cs="Verdana" w:ascii="Verdana" w:hAnsi="Verdana"/>
          <w:sz w:val="20"/>
          <w:szCs w:val="20"/>
        </w:rPr>
        <w:t>São Gabriel da Palha/ES, em 10 de fevereiro de 2025.</w:t>
      </w:r>
    </w:p>
    <w:p>
      <w:pPr>
        <w:pStyle w:val="Normal"/>
        <w:spacing w:lineRule="auto" w:line="276"/>
        <w:ind w:right="-142"/>
        <w:jc w:val="center"/>
        <w:rPr>
          <w:rFonts w:ascii="Verdana" w:hAnsi="Verdana" w:eastAsia="Batang;바탕" w:cs="Verdana"/>
          <w:b/>
          <w:sz w:val="20"/>
          <w:szCs w:val="20"/>
          <w:lang w:eastAsia="en-US"/>
        </w:rPr>
      </w:pPr>
      <w:r>
        <w:rPr>
          <w:rFonts w:eastAsia="Batang;바탕" w:cs="Verdana" w:ascii="Verdana" w:hAnsi="Verdana"/>
          <w:b/>
          <w:sz w:val="20"/>
          <w:szCs w:val="20"/>
          <w:lang w:eastAsia="en-US"/>
        </w:rPr>
      </w:r>
    </w:p>
    <w:p>
      <w:pPr>
        <w:pStyle w:val="Normal"/>
        <w:spacing w:lineRule="auto" w:line="276"/>
        <w:ind w:right="-142"/>
        <w:jc w:val="center"/>
        <w:rPr>
          <w:rFonts w:ascii="Verdana" w:hAnsi="Verdana" w:eastAsia="Batang;바탕" w:cs="Verdana"/>
          <w:b/>
          <w:sz w:val="20"/>
          <w:szCs w:val="20"/>
          <w:lang w:eastAsia="en-US"/>
        </w:rPr>
      </w:pPr>
      <w:r>
        <w:rPr>
          <w:rFonts w:eastAsia="Batang;바탕" w:cs="Verdana" w:ascii="Verdana" w:hAnsi="Verdana"/>
          <w:b/>
          <w:sz w:val="20"/>
          <w:szCs w:val="20"/>
          <w:lang w:eastAsia="en-US"/>
        </w:rPr>
      </w:r>
    </w:p>
    <w:p>
      <w:pPr>
        <w:pStyle w:val="Normal"/>
        <w:spacing w:lineRule="auto" w:line="276"/>
        <w:ind w:right="-142"/>
        <w:jc w:val="center"/>
        <w:rPr>
          <w:rFonts w:ascii="Verdana" w:hAnsi="Verdana" w:eastAsia="Batang;바탕" w:cs="Verdana"/>
          <w:b/>
          <w:sz w:val="20"/>
          <w:szCs w:val="20"/>
          <w:lang w:eastAsia="en-US"/>
        </w:rPr>
      </w:pPr>
      <w:r>
        <w:rPr>
          <w:rFonts w:eastAsia="Batang;바탕" w:cs="Verdana" w:ascii="Verdana" w:hAnsi="Verdana"/>
          <w:b/>
          <w:sz w:val="20"/>
          <w:szCs w:val="20"/>
          <w:lang w:eastAsia="en-US"/>
        </w:rPr>
      </w:r>
    </w:p>
    <w:p>
      <w:pPr>
        <w:pStyle w:val="Normal"/>
        <w:spacing w:lineRule="auto" w:line="276"/>
        <w:ind w:right="-142"/>
        <w:jc w:val="center"/>
        <w:rPr>
          <w:rFonts w:ascii="Verdana" w:hAnsi="Verdana" w:eastAsia="Batang;바탕" w:cs="Verdana"/>
          <w:b/>
          <w:sz w:val="20"/>
          <w:szCs w:val="20"/>
          <w:lang w:eastAsia="en-US"/>
        </w:rPr>
      </w:pPr>
      <w:r>
        <w:rPr>
          <w:rFonts w:eastAsia="Batang;바탕" w:cs="Verdana" w:ascii="Verdana" w:hAnsi="Verdana"/>
          <w:b/>
          <w:sz w:val="20"/>
          <w:szCs w:val="20"/>
          <w:lang w:eastAsia="en-US"/>
        </w:rPr>
      </w:r>
    </w:p>
    <w:p>
      <w:pPr>
        <w:pStyle w:val="Normal"/>
        <w:spacing w:lineRule="auto" w:line="276"/>
        <w:ind w:right="-142"/>
        <w:jc w:val="center"/>
        <w:rPr>
          <w:rFonts w:ascii="Verdana" w:hAnsi="Verdana" w:eastAsia="Batang;바탕" w:cs="Verdana"/>
          <w:b/>
          <w:sz w:val="20"/>
          <w:szCs w:val="20"/>
          <w:lang w:eastAsia="en-US"/>
        </w:rPr>
      </w:pPr>
      <w:r>
        <w:rPr>
          <w:rFonts w:eastAsia="Batang;바탕" w:cs="Verdana" w:ascii="Verdana" w:hAnsi="Verdana"/>
          <w:b/>
          <w:sz w:val="20"/>
          <w:szCs w:val="20"/>
          <w:lang w:eastAsia="en-US"/>
        </w:rPr>
      </w:r>
    </w:p>
    <w:p>
      <w:pPr>
        <w:pStyle w:val="Normal"/>
        <w:jc w:val="center"/>
        <w:rPr>
          <w:rFonts w:ascii="Verdana" w:hAnsi="Verdana" w:cs="Verdana"/>
          <w:b/>
          <w:bCs/>
          <w:sz w:val="20"/>
        </w:rPr>
      </w:pPr>
      <w:r>
        <w:rPr>
          <w:rFonts w:cs="Verdana" w:ascii="Verdana" w:hAnsi="Verdana"/>
          <w:b/>
          <w:bCs/>
          <w:sz w:val="20"/>
        </w:rPr>
        <w:t>FRANCIELI DA ROCHA ÁVILA</w:t>
      </w:r>
    </w:p>
    <w:p>
      <w:pPr>
        <w:pStyle w:val="Normal"/>
        <w:keepNext w:val="true"/>
        <w:keepLines/>
        <w:numPr>
          <w:ilvl w:val="0"/>
          <w:numId w:val="0"/>
        </w:numPr>
        <w:tabs>
          <w:tab w:val="clear" w:pos="709"/>
          <w:tab w:val="left" w:pos="567" w:leader="none"/>
        </w:tabs>
        <w:spacing w:lineRule="auto" w:line="276"/>
        <w:jc w:val="center"/>
        <w:outlineLvl w:val="0"/>
        <w:rPr/>
      </w:pPr>
      <w:r>
        <w:rPr>
          <w:rFonts w:cs="Verdana" w:ascii="Verdana" w:hAnsi="Verdana"/>
          <w:b/>
          <w:bCs/>
          <w:sz w:val="20"/>
        </w:rPr>
        <w:t>Secretária Municipal de Administração</w:t>
      </w:r>
      <w:r>
        <w:rPr>
          <w:rFonts w:eastAsia="" w:cs="Verdana" w:ascii="Verdana" w:hAnsi="Verdana"/>
          <w:b/>
          <w:bCs/>
          <w:sz w:val="20"/>
          <w:szCs w:val="20"/>
          <w:lang w:eastAsia="en-US"/>
        </w:rPr>
        <w:t xml:space="preserve"> Secretário Municipal de Agricultura</w:t>
      </w:r>
    </w:p>
    <w:sectPr>
      <w:headerReference w:type="default" r:id="rId4"/>
      <w:type w:val="nextPage"/>
      <w:pgSz w:w="11906" w:h="16838"/>
      <w:pgMar w:left="1740" w:right="1151" w:gutter="0" w:header="450" w:top="1499"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swiss"/>
    <w:pitch w:val="variable"/>
  </w:font>
  <w:font w:name="Verdana">
    <w:charset w:val="00"/>
    <w:family w:val="swiss"/>
    <w:pitch w:val="variable"/>
  </w:font>
  <w:font w:name="Tahoma">
    <w:charset w:val="00"/>
    <w:family w:val="swiss"/>
    <w:pitch w:val="variable"/>
  </w:font>
  <w:font w:name="Liberation Sans">
    <w:altName w:val="Arial"/>
    <w:charset w:val="00"/>
    <w:family w:val="swiss"/>
    <w:pitch w:val="variable"/>
  </w:font>
  <w:font w:name="Calibri">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0" distT="0" distB="0" distL="114935" distR="114935" simplePos="0" locked="0" layoutInCell="0" allowOverlap="1" relativeHeight="13">
          <wp:simplePos x="0" y="0"/>
          <wp:positionH relativeFrom="column">
            <wp:posOffset>-32385</wp:posOffset>
          </wp:positionH>
          <wp:positionV relativeFrom="paragraph">
            <wp:posOffset>-132715</wp:posOffset>
          </wp:positionV>
          <wp:extent cx="618490" cy="513715"/>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1726" t="-1922" r="-1726" b="-1922"/>
                  <a:stretch>
                    <a:fillRect/>
                  </a:stretch>
                </pic:blipFill>
                <pic:spPr bwMode="auto">
                  <a:xfrm>
                    <a:off x="0" y="0"/>
                    <a:ext cx="618490" cy="51371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lowerLetter"/>
      <w:lvlText w:val="%1)"/>
      <w:lvlJc w:val="left"/>
      <w:pPr>
        <w:tabs>
          <w:tab w:val="num" w:pos="0"/>
        </w:tabs>
        <w:ind w:left="0" w:hanging="0"/>
      </w:pPr>
      <w:rPr>
        <w:sz w:val="22"/>
        <w:spacing w:val="-3"/>
        <w:i w:val="false"/>
        <w:b/>
        <w:szCs w:val="22"/>
        <w:iCs w:val="false"/>
        <w:bCs/>
        <w:rFonts w:ascii="Arial" w:hAnsi="Arial" w:eastAsia="Batang;바탕" w:cs="Arial"/>
        <w:color w:val="auto"/>
      </w:rPr>
    </w:lvl>
    <w:lvl w:ilvl="1">
      <w:start w:val="1"/>
      <w:numFmt w:val="lowerLetter"/>
      <w:lvlText w:val="%2 )"/>
      <w:lvlJc w:val="left"/>
      <w:pPr>
        <w:tabs>
          <w:tab w:val="num" w:pos="0"/>
        </w:tabs>
        <w:ind w:left="0" w:hanging="0"/>
      </w:pPr>
      <w:rPr>
        <w:sz w:val="24"/>
        <w:i w:val="false"/>
        <w:u w:val="none"/>
        <w:b/>
        <w:szCs w:val="24"/>
        <w:rFonts w:ascii="Arial" w:hAnsi="Arial" w:eastAsia="Batang;바탕" w:cs="Aria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lvl w:ilvl="0">
      <w:start w:val="1"/>
      <w:numFmt w:val="lowerLetter"/>
      <w:lvlText w:val="%1)"/>
      <w:lvlJc w:val="left"/>
      <w:pPr>
        <w:tabs>
          <w:tab w:val="num" w:pos="720"/>
        </w:tabs>
        <w:ind w:left="720" w:hanging="360"/>
      </w:pPr>
      <w:rPr>
        <w:sz w:val="22"/>
        <w:b/>
        <w:szCs w:val="22"/>
        <w:bCs/>
        <w:rFonts w:ascii="Arial" w:hAnsi="Arial" w:cs="Arial"/>
      </w:rPr>
    </w:lvl>
    <w:lvl w:ilvl="1">
      <w:start w:val="1"/>
      <w:numFmt w:val="lowerLetter"/>
      <w:lvlText w:val="%2)"/>
      <w:lvlJc w:val="left"/>
      <w:pPr>
        <w:tabs>
          <w:tab w:val="num" w:pos="1080"/>
        </w:tabs>
        <w:ind w:left="1080" w:hanging="360"/>
      </w:pPr>
      <w:rPr>
        <w:sz w:val="22"/>
        <w:b/>
        <w:szCs w:val="22"/>
        <w:bCs/>
        <w:rFonts w:ascii="Arial" w:hAnsi="Arial" w:cs="Arial"/>
      </w:rPr>
    </w:lvl>
    <w:lvl w:ilvl="2">
      <w:start w:val="1"/>
      <w:numFmt w:val="lowerLetter"/>
      <w:lvlText w:val="%3)"/>
      <w:lvlJc w:val="left"/>
      <w:pPr>
        <w:tabs>
          <w:tab w:val="num" w:pos="1440"/>
        </w:tabs>
        <w:ind w:left="1440" w:hanging="360"/>
      </w:pPr>
      <w:rPr>
        <w:sz w:val="22"/>
        <w:b/>
        <w:szCs w:val="22"/>
        <w:bCs/>
        <w:rFonts w:ascii="Arial" w:hAnsi="Arial" w:cs="Arial"/>
      </w:rPr>
    </w:lvl>
    <w:lvl w:ilvl="3">
      <w:start w:val="1"/>
      <w:numFmt w:val="lowerLetter"/>
      <w:lvlText w:val="%4)"/>
      <w:lvlJc w:val="left"/>
      <w:pPr>
        <w:tabs>
          <w:tab w:val="num" w:pos="1800"/>
        </w:tabs>
        <w:ind w:left="1800" w:hanging="360"/>
      </w:pPr>
      <w:rPr>
        <w:sz w:val="22"/>
        <w:b/>
        <w:szCs w:val="22"/>
        <w:bCs/>
        <w:rFonts w:ascii="Arial" w:hAnsi="Arial" w:cs="Arial"/>
      </w:rPr>
    </w:lvl>
    <w:lvl w:ilvl="4">
      <w:start w:val="1"/>
      <w:numFmt w:val="lowerLetter"/>
      <w:lvlText w:val="%5)"/>
      <w:lvlJc w:val="left"/>
      <w:pPr>
        <w:tabs>
          <w:tab w:val="num" w:pos="2160"/>
        </w:tabs>
        <w:ind w:left="2160" w:hanging="360"/>
      </w:pPr>
      <w:rPr>
        <w:sz w:val="22"/>
        <w:b/>
        <w:szCs w:val="22"/>
        <w:bCs/>
        <w:rFonts w:ascii="Arial" w:hAnsi="Arial" w:cs="Arial"/>
      </w:rPr>
    </w:lvl>
    <w:lvl w:ilvl="5">
      <w:start w:val="1"/>
      <w:numFmt w:val="lowerLetter"/>
      <w:lvlText w:val="%6)"/>
      <w:lvlJc w:val="left"/>
      <w:pPr>
        <w:tabs>
          <w:tab w:val="num" w:pos="2520"/>
        </w:tabs>
        <w:ind w:left="2520" w:hanging="360"/>
      </w:pPr>
      <w:rPr>
        <w:sz w:val="22"/>
        <w:b/>
        <w:szCs w:val="22"/>
        <w:bCs/>
        <w:rFonts w:ascii="Arial" w:hAnsi="Arial" w:cs="Arial"/>
      </w:rPr>
    </w:lvl>
    <w:lvl w:ilvl="6">
      <w:start w:val="1"/>
      <w:numFmt w:val="lowerLetter"/>
      <w:lvlText w:val="%7)"/>
      <w:lvlJc w:val="left"/>
      <w:pPr>
        <w:tabs>
          <w:tab w:val="num" w:pos="2880"/>
        </w:tabs>
        <w:ind w:left="2880" w:hanging="360"/>
      </w:pPr>
      <w:rPr>
        <w:sz w:val="22"/>
        <w:b/>
        <w:szCs w:val="22"/>
        <w:bCs/>
        <w:rFonts w:ascii="Arial" w:hAnsi="Arial" w:cs="Arial"/>
      </w:rPr>
    </w:lvl>
    <w:lvl w:ilvl="7">
      <w:start w:val="1"/>
      <w:numFmt w:val="lowerLetter"/>
      <w:lvlText w:val="%8)"/>
      <w:lvlJc w:val="left"/>
      <w:pPr>
        <w:tabs>
          <w:tab w:val="num" w:pos="3240"/>
        </w:tabs>
        <w:ind w:left="3240" w:hanging="360"/>
      </w:pPr>
      <w:rPr>
        <w:sz w:val="22"/>
        <w:b/>
        <w:szCs w:val="22"/>
        <w:bCs/>
        <w:rFonts w:ascii="Arial" w:hAnsi="Arial" w:cs="Arial"/>
      </w:rPr>
    </w:lvl>
    <w:lvl w:ilvl="8">
      <w:start w:val="1"/>
      <w:numFmt w:val="lowerLetter"/>
      <w:lvlText w:val="%9)"/>
      <w:lvlJc w:val="left"/>
      <w:pPr>
        <w:tabs>
          <w:tab w:val="num" w:pos="3600"/>
        </w:tabs>
        <w:ind w:left="3600" w:hanging="360"/>
      </w:pPr>
      <w:rPr>
        <w:sz w:val="22"/>
        <w:b/>
        <w:szCs w:val="22"/>
        <w:bCs/>
        <w:rFonts w:ascii="Arial" w:hAnsi="Arial" w:cs="Arial"/>
      </w:rPr>
    </w:lvl>
  </w:abstractNum>
  <w:abstractNum w:abstractNumId="4">
    <w:lvl w:ilvl="0">
      <w:start w:val="1"/>
      <w:numFmt w:val="lowerLetter"/>
      <w:lvlText w:val="%1)"/>
      <w:lvlJc w:val="left"/>
      <w:pPr>
        <w:tabs>
          <w:tab w:val="num" w:pos="720"/>
        </w:tabs>
        <w:ind w:left="720" w:hanging="360"/>
      </w:pPr>
      <w:rPr>
        <w:sz w:val="22"/>
        <w:b/>
        <w:szCs w:val="22"/>
        <w:iCs/>
        <w:bCs/>
        <w:rFonts w:ascii="Arial" w:hAnsi="Arial" w:eastAsia="Batang;바탕" w:cs="Arial"/>
        <w:color w:val="auto"/>
      </w:rPr>
    </w:lvl>
    <w:lvl w:ilvl="1">
      <w:start w:val="1"/>
      <w:numFmt w:val="lowerLetter"/>
      <w:lvlText w:val="%2)"/>
      <w:lvlJc w:val="left"/>
      <w:pPr>
        <w:tabs>
          <w:tab w:val="num" w:pos="1080"/>
        </w:tabs>
        <w:ind w:left="1080" w:hanging="360"/>
      </w:pPr>
      <w:rPr>
        <w:sz w:val="22"/>
        <w:b/>
        <w:szCs w:val="22"/>
        <w:iCs/>
        <w:bCs/>
        <w:rFonts w:ascii="Arial" w:hAnsi="Arial" w:eastAsia="Batang;바탕" w:cs="Arial"/>
        <w:color w:val="auto"/>
      </w:rPr>
    </w:lvl>
    <w:lvl w:ilvl="2">
      <w:start w:val="1"/>
      <w:numFmt w:val="lowerLetter"/>
      <w:lvlText w:val="%3)"/>
      <w:lvlJc w:val="left"/>
      <w:pPr>
        <w:tabs>
          <w:tab w:val="num" w:pos="1440"/>
        </w:tabs>
        <w:ind w:left="1440" w:hanging="360"/>
      </w:pPr>
      <w:rPr>
        <w:sz w:val="22"/>
        <w:b/>
        <w:szCs w:val="22"/>
        <w:iCs/>
        <w:bCs/>
        <w:rFonts w:ascii="Arial" w:hAnsi="Arial" w:eastAsia="Batang;바탕" w:cs="Arial"/>
        <w:color w:val="auto"/>
      </w:rPr>
    </w:lvl>
    <w:lvl w:ilvl="3">
      <w:start w:val="1"/>
      <w:numFmt w:val="lowerLetter"/>
      <w:lvlText w:val="%4)"/>
      <w:lvlJc w:val="left"/>
      <w:pPr>
        <w:tabs>
          <w:tab w:val="num" w:pos="1800"/>
        </w:tabs>
        <w:ind w:left="1800" w:hanging="360"/>
      </w:pPr>
      <w:rPr>
        <w:sz w:val="22"/>
        <w:b/>
        <w:szCs w:val="22"/>
        <w:iCs/>
        <w:bCs/>
        <w:rFonts w:ascii="Arial" w:hAnsi="Arial" w:eastAsia="Batang;바탕" w:cs="Arial"/>
        <w:color w:val="auto"/>
      </w:rPr>
    </w:lvl>
    <w:lvl w:ilvl="4">
      <w:start w:val="1"/>
      <w:numFmt w:val="lowerLetter"/>
      <w:lvlText w:val="%5)"/>
      <w:lvlJc w:val="left"/>
      <w:pPr>
        <w:tabs>
          <w:tab w:val="num" w:pos="2160"/>
        </w:tabs>
        <w:ind w:left="2160" w:hanging="360"/>
      </w:pPr>
      <w:rPr>
        <w:sz w:val="22"/>
        <w:b/>
        <w:szCs w:val="22"/>
        <w:iCs/>
        <w:bCs/>
        <w:rFonts w:ascii="Arial" w:hAnsi="Arial" w:eastAsia="Batang;바탕" w:cs="Arial"/>
        <w:color w:val="auto"/>
      </w:rPr>
    </w:lvl>
    <w:lvl w:ilvl="5">
      <w:start w:val="1"/>
      <w:numFmt w:val="lowerLetter"/>
      <w:lvlText w:val="%6)"/>
      <w:lvlJc w:val="left"/>
      <w:pPr>
        <w:tabs>
          <w:tab w:val="num" w:pos="2520"/>
        </w:tabs>
        <w:ind w:left="2520" w:hanging="360"/>
      </w:pPr>
      <w:rPr>
        <w:sz w:val="22"/>
        <w:b/>
        <w:szCs w:val="22"/>
        <w:iCs/>
        <w:bCs/>
        <w:rFonts w:ascii="Arial" w:hAnsi="Arial" w:eastAsia="Batang;바탕" w:cs="Arial"/>
        <w:color w:val="auto"/>
      </w:rPr>
    </w:lvl>
    <w:lvl w:ilvl="6">
      <w:start w:val="1"/>
      <w:numFmt w:val="lowerLetter"/>
      <w:lvlText w:val="%7)"/>
      <w:lvlJc w:val="left"/>
      <w:pPr>
        <w:tabs>
          <w:tab w:val="num" w:pos="2880"/>
        </w:tabs>
        <w:ind w:left="2880" w:hanging="360"/>
      </w:pPr>
      <w:rPr>
        <w:sz w:val="22"/>
        <w:b/>
        <w:szCs w:val="22"/>
        <w:iCs/>
        <w:bCs/>
        <w:rFonts w:ascii="Arial" w:hAnsi="Arial" w:eastAsia="Batang;바탕" w:cs="Arial"/>
        <w:color w:val="auto"/>
      </w:rPr>
    </w:lvl>
    <w:lvl w:ilvl="7">
      <w:start w:val="1"/>
      <w:numFmt w:val="lowerLetter"/>
      <w:lvlText w:val="%8)"/>
      <w:lvlJc w:val="left"/>
      <w:pPr>
        <w:tabs>
          <w:tab w:val="num" w:pos="3240"/>
        </w:tabs>
        <w:ind w:left="3240" w:hanging="360"/>
      </w:pPr>
      <w:rPr>
        <w:sz w:val="22"/>
        <w:b/>
        <w:szCs w:val="22"/>
        <w:iCs/>
        <w:bCs/>
        <w:rFonts w:ascii="Arial" w:hAnsi="Arial" w:eastAsia="Batang;바탕" w:cs="Arial"/>
        <w:color w:val="auto"/>
      </w:rPr>
    </w:lvl>
    <w:lvl w:ilvl="8">
      <w:start w:val="1"/>
      <w:numFmt w:val="lowerLetter"/>
      <w:lvlText w:val="%9)"/>
      <w:lvlJc w:val="left"/>
      <w:pPr>
        <w:tabs>
          <w:tab w:val="num" w:pos="3600"/>
        </w:tabs>
        <w:ind w:left="3600" w:hanging="360"/>
      </w:pPr>
      <w:rPr>
        <w:sz w:val="22"/>
        <w:b/>
        <w:szCs w:val="22"/>
        <w:iCs/>
        <w:bCs/>
        <w:rFonts w:ascii="Arial" w:hAnsi="Arial" w:eastAsia="Batang;바탕" w:cs="Arial"/>
        <w:color w:val="auto"/>
      </w:rPr>
    </w:lvl>
  </w:abstractNum>
  <w:abstractNum w:abstractNumId="5">
    <w:lvl w:ilvl="0">
      <w:start w:val="1"/>
      <w:numFmt w:val="none"/>
      <w:suff w:val="nothing"/>
      <w:lvlText w:val=""/>
      <w:lvlJc w:val="left"/>
      <w:pPr>
        <w:tabs>
          <w:tab w:val="num" w:pos="0"/>
        </w:tabs>
        <w:ind w:left="0" w:hanging="0"/>
      </w:pPr>
      <w:rPr>
        <w:sz w:val="22"/>
        <w:b/>
        <w:szCs w:val="22"/>
        <w:rFonts w:ascii="Arial" w:hAnsi="Arial" w:eastAsia="Batang;바탕" w:cs="Arial"/>
      </w:r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6">
    <w:lvl w:ilvl="0">
      <w:start w:val="1"/>
      <w:numFmt w:val="lowerLetter"/>
      <w:lvlText w:val="%1)"/>
      <w:lvlJc w:val="left"/>
      <w:pPr>
        <w:tabs>
          <w:tab w:val="num" w:pos="0"/>
        </w:tabs>
        <w:ind w:left="720" w:hanging="360"/>
      </w:pPr>
      <w:rPr>
        <w:b/>
      </w:rPr>
    </w:lvl>
  </w:abstractNum>
  <w:abstractNum w:abstractNumId="7">
    <w:lvl w:ilvl="0">
      <w:start w:val="1"/>
      <w:numFmt w:val="decimal"/>
      <w:lvlText w:val="%1"/>
      <w:lvlJc w:val="left"/>
      <w:pPr>
        <w:tabs>
          <w:tab w:val="num" w:pos="0"/>
        </w:tabs>
        <w:ind w:left="405" w:hanging="405"/>
      </w:pPr>
      <w:rPr/>
    </w:lvl>
    <w:lvl w:ilvl="1">
      <w:start w:val="1"/>
      <w:numFmt w:val="decimal"/>
      <w:lvlText w:val="%1.%2"/>
      <w:lvlJc w:val="left"/>
      <w:pPr>
        <w:tabs>
          <w:tab w:val="num" w:pos="0"/>
        </w:tabs>
        <w:ind w:left="720" w:hanging="720"/>
      </w:pPr>
      <w:rPr>
        <w:b/>
        <w:bCs/>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440" w:hanging="144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800" w:hanging="1800"/>
      </w:pPr>
      <w:rPr/>
    </w:lvl>
    <w:lvl w:ilvl="7">
      <w:start w:val="1"/>
      <w:numFmt w:val="decimal"/>
      <w:lvlText w:val="%1.%2.%3.%4.%5.%6.%7.%8"/>
      <w:lvlJc w:val="left"/>
      <w:pPr>
        <w:tabs>
          <w:tab w:val="num" w:pos="0"/>
        </w:tabs>
        <w:ind w:left="2160" w:hanging="2160"/>
      </w:pPr>
      <w:rPr/>
    </w:lvl>
    <w:lvl w:ilvl="8">
      <w:start w:val="1"/>
      <w:numFmt w:val="decimal"/>
      <w:lvlText w:val="%1.%2.%3.%4.%5.%6.%7.%8.%9"/>
      <w:lvlJc w:val="left"/>
      <w:pPr>
        <w:tabs>
          <w:tab w:val="num" w:pos="0"/>
        </w:tabs>
        <w:ind w:left="2160" w:hanging="2160"/>
      </w:pPr>
      <w:rPr/>
    </w:lvl>
  </w:abstractNum>
  <w:abstractNum w:abstractNumId="8">
    <w:lvl w:ilvl="0">
      <w:start w:val="4"/>
      <w:numFmt w:val="decimal"/>
      <w:lvlText w:val="%1"/>
      <w:lvlJc w:val="left"/>
      <w:pPr>
        <w:tabs>
          <w:tab w:val="num" w:pos="0"/>
        </w:tabs>
        <w:ind w:left="360" w:hanging="360"/>
      </w:pPr>
      <w:rPr/>
    </w:lvl>
    <w:lvl w:ilvl="1">
      <w:start w:val="1"/>
      <w:numFmt w:val="decimal"/>
      <w:lvlText w:val="%1.%2"/>
      <w:lvlJc w:val="left"/>
      <w:pPr>
        <w:tabs>
          <w:tab w:val="num" w:pos="0"/>
        </w:tabs>
        <w:ind w:left="720" w:hanging="720"/>
      </w:pPr>
      <w:rPr>
        <w:b/>
        <w:bCs/>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440" w:hanging="144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800" w:hanging="1800"/>
      </w:pPr>
      <w:rPr/>
    </w:lvl>
    <w:lvl w:ilvl="7">
      <w:start w:val="1"/>
      <w:numFmt w:val="decimal"/>
      <w:lvlText w:val="%1.%2.%3.%4.%5.%6.%7.%8"/>
      <w:lvlJc w:val="left"/>
      <w:pPr>
        <w:tabs>
          <w:tab w:val="num" w:pos="0"/>
        </w:tabs>
        <w:ind w:left="2160" w:hanging="2160"/>
      </w:pPr>
      <w:rPr/>
    </w:lvl>
    <w:lvl w:ilvl="8">
      <w:start w:val="1"/>
      <w:numFmt w:val="decimal"/>
      <w:lvlText w:val="%1.%2.%3.%4.%5.%6.%7.%8.%9"/>
      <w:lvlJc w:val="left"/>
      <w:pPr>
        <w:tabs>
          <w:tab w:val="num" w:pos="0"/>
        </w:tabs>
        <w:ind w:left="2160" w:hanging="2160"/>
      </w:pPr>
      <w:rPr/>
    </w:lvl>
  </w:abstractNum>
  <w:abstractNum w:abstractNumId="9">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10">
    <w:lvl w:ilvl="0">
      <w:start w:val="19"/>
      <w:numFmt w:val="decimal"/>
      <w:lvlText w:val="%1"/>
      <w:lvlJc w:val="left"/>
      <w:pPr>
        <w:tabs>
          <w:tab w:val="num" w:pos="0"/>
        </w:tabs>
        <w:ind w:left="480" w:hanging="480"/>
      </w:pPr>
      <w:rPr>
        <w:b/>
      </w:r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rPr>
        <w:b/>
      </w:rPr>
    </w:lvl>
    <w:lvl w:ilvl="4">
      <w:start w:val="1"/>
      <w:numFmt w:val="decimal"/>
      <w:lvlText w:val="%1.%2.%3.%4.%5"/>
      <w:lvlJc w:val="left"/>
      <w:pPr>
        <w:tabs>
          <w:tab w:val="num" w:pos="0"/>
        </w:tabs>
        <w:ind w:left="1440" w:hanging="1440"/>
      </w:pPr>
      <w:rPr>
        <w:b/>
      </w:rPr>
    </w:lvl>
    <w:lvl w:ilvl="5">
      <w:start w:val="1"/>
      <w:numFmt w:val="decimal"/>
      <w:lvlText w:val="%1.%2.%3.%4.%5.%6"/>
      <w:lvlJc w:val="left"/>
      <w:pPr>
        <w:tabs>
          <w:tab w:val="num" w:pos="0"/>
        </w:tabs>
        <w:ind w:left="1440" w:hanging="1440"/>
      </w:pPr>
      <w:rPr>
        <w:b/>
      </w:rPr>
    </w:lvl>
    <w:lvl w:ilvl="6">
      <w:start w:val="1"/>
      <w:numFmt w:val="decimal"/>
      <w:lvlText w:val="%1.%2.%3.%4.%5.%6.%7"/>
      <w:lvlJc w:val="left"/>
      <w:pPr>
        <w:tabs>
          <w:tab w:val="num" w:pos="0"/>
        </w:tabs>
        <w:ind w:left="1800" w:hanging="1800"/>
      </w:pPr>
      <w:rPr>
        <w:b/>
      </w:rPr>
    </w:lvl>
    <w:lvl w:ilvl="7">
      <w:start w:val="1"/>
      <w:numFmt w:val="decimal"/>
      <w:lvlText w:val="%1.%2.%3.%4.%5.%6.%7.%8"/>
      <w:lvlJc w:val="left"/>
      <w:pPr>
        <w:tabs>
          <w:tab w:val="num" w:pos="0"/>
        </w:tabs>
        <w:ind w:left="2160" w:hanging="2160"/>
      </w:pPr>
      <w:rPr>
        <w:b/>
      </w:rPr>
    </w:lvl>
    <w:lvl w:ilvl="8">
      <w:start w:val="1"/>
      <w:numFmt w:val="decimal"/>
      <w:lvlText w:val="%1.%2.%3.%4.%5.%6.%7.%8.%9"/>
      <w:lvlJc w:val="left"/>
      <w:pPr>
        <w:tabs>
          <w:tab w:val="num" w:pos="0"/>
        </w:tabs>
        <w:ind w:left="2160" w:hanging="2160"/>
      </w:pPr>
      <w:rPr>
        <w:b/>
      </w:rPr>
    </w:lvl>
  </w:abstractNum>
  <w:abstractNum w:abstractNumId="11">
    <w:lvl w:ilvl="0">
      <w:start w:val="6"/>
      <w:numFmt w:val="decimal"/>
      <w:lvlText w:val="%1"/>
      <w:lvlJc w:val="left"/>
      <w:pPr>
        <w:tabs>
          <w:tab w:val="num" w:pos="0"/>
        </w:tabs>
        <w:ind w:left="360" w:hanging="360"/>
      </w:pPr>
      <w:rPr>
        <w:b/>
        <w:rFonts w:eastAsia="NSimSun"/>
      </w:rPr>
    </w:lvl>
    <w:lvl w:ilvl="1">
      <w:start w:val="1"/>
      <w:numFmt w:val="decimal"/>
      <w:lvlText w:val="%1.%2"/>
      <w:lvlJc w:val="left"/>
      <w:pPr>
        <w:tabs>
          <w:tab w:val="num" w:pos="0"/>
        </w:tabs>
        <w:ind w:left="720" w:hanging="720"/>
      </w:pPr>
      <w:rPr>
        <w:b/>
        <w:rFonts w:eastAsia="NSimSun"/>
      </w:rPr>
    </w:lvl>
    <w:lvl w:ilvl="2">
      <w:start w:val="1"/>
      <w:numFmt w:val="decimal"/>
      <w:lvlText w:val="%1.%2.%3"/>
      <w:lvlJc w:val="left"/>
      <w:pPr>
        <w:tabs>
          <w:tab w:val="num" w:pos="0"/>
        </w:tabs>
        <w:ind w:left="720" w:hanging="720"/>
      </w:pPr>
      <w:rPr>
        <w:b/>
        <w:rFonts w:eastAsia="NSimSun"/>
      </w:rPr>
    </w:lvl>
    <w:lvl w:ilvl="3">
      <w:start w:val="1"/>
      <w:numFmt w:val="decimal"/>
      <w:lvlText w:val="%1.%2.%3.%4"/>
      <w:lvlJc w:val="left"/>
      <w:pPr>
        <w:tabs>
          <w:tab w:val="num" w:pos="0"/>
        </w:tabs>
        <w:ind w:left="1080" w:hanging="1080"/>
      </w:pPr>
      <w:rPr>
        <w:b/>
        <w:rFonts w:eastAsia="NSimSun"/>
      </w:rPr>
    </w:lvl>
    <w:lvl w:ilvl="4">
      <w:start w:val="1"/>
      <w:numFmt w:val="decimal"/>
      <w:lvlText w:val="%1.%2.%3.%4.%5"/>
      <w:lvlJc w:val="left"/>
      <w:pPr>
        <w:tabs>
          <w:tab w:val="num" w:pos="0"/>
        </w:tabs>
        <w:ind w:left="1440" w:hanging="1440"/>
      </w:pPr>
      <w:rPr>
        <w:b/>
        <w:rFonts w:eastAsia="NSimSun"/>
      </w:rPr>
    </w:lvl>
    <w:lvl w:ilvl="5">
      <w:start w:val="1"/>
      <w:numFmt w:val="decimal"/>
      <w:lvlText w:val="%1.%2.%3.%4.%5.%6"/>
      <w:lvlJc w:val="left"/>
      <w:pPr>
        <w:tabs>
          <w:tab w:val="num" w:pos="0"/>
        </w:tabs>
        <w:ind w:left="1440" w:hanging="1440"/>
      </w:pPr>
      <w:rPr>
        <w:b/>
        <w:rFonts w:eastAsia="NSimSun"/>
      </w:rPr>
    </w:lvl>
    <w:lvl w:ilvl="6">
      <w:start w:val="1"/>
      <w:numFmt w:val="decimal"/>
      <w:lvlText w:val="%1.%2.%3.%4.%5.%6.%7"/>
      <w:lvlJc w:val="left"/>
      <w:pPr>
        <w:tabs>
          <w:tab w:val="num" w:pos="0"/>
        </w:tabs>
        <w:ind w:left="1800" w:hanging="1800"/>
      </w:pPr>
      <w:rPr>
        <w:b/>
        <w:rFonts w:eastAsia="NSimSun"/>
      </w:rPr>
    </w:lvl>
    <w:lvl w:ilvl="7">
      <w:start w:val="1"/>
      <w:numFmt w:val="decimal"/>
      <w:lvlText w:val="%1.%2.%3.%4.%5.%6.%7.%8"/>
      <w:lvlJc w:val="left"/>
      <w:pPr>
        <w:tabs>
          <w:tab w:val="num" w:pos="0"/>
        </w:tabs>
        <w:ind w:left="2160" w:hanging="2160"/>
      </w:pPr>
      <w:rPr>
        <w:b/>
        <w:rFonts w:eastAsia="NSimSun"/>
      </w:rPr>
    </w:lvl>
    <w:lvl w:ilvl="8">
      <w:start w:val="1"/>
      <w:numFmt w:val="decimal"/>
      <w:lvlText w:val="%1.%2.%3.%4.%5.%6.%7.%8.%9"/>
      <w:lvlJc w:val="left"/>
      <w:pPr>
        <w:tabs>
          <w:tab w:val="num" w:pos="0"/>
        </w:tabs>
        <w:ind w:left="2160" w:hanging="2160"/>
      </w:pPr>
      <w:rPr>
        <w:b/>
        <w:rFonts w:eastAsia="NSimSun"/>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sz w:val="24"/>
        <w:szCs w:val="24"/>
        <w:lang w:val="pt-BR" w:eastAsia="zh-CN" w:bidi="hi-IN"/>
      </w:rPr>
    </w:rPrDefault>
    <w:pPrDefault>
      <w:pPr>
        <w:suppressAutoHyphens w:val="true"/>
      </w:pPr>
    </w:pPrDefault>
  </w:docDefaults>
  <w:style w:type="paragraph" w:styleId="Normal">
    <w:name w:val="Normal"/>
    <w:qFormat/>
    <w:pPr>
      <w:widowControl/>
      <w:suppressAutoHyphens w:val="true"/>
      <w:bidi w:val="0"/>
    </w:pPr>
    <w:rPr>
      <w:rFonts w:ascii="Liberation Serif" w:hAnsi="Liberation Serif" w:eastAsia="NSimSun" w:cs="Mangal"/>
      <w:color w:val="auto"/>
      <w:kern w:val="2"/>
      <w:sz w:val="24"/>
      <w:szCs w:val="24"/>
      <w:lang w:val="pt-BR" w:eastAsia="zh-CN" w:bidi="hi-IN"/>
    </w:rPr>
  </w:style>
  <w:style w:type="paragraph" w:styleId="Heading1">
    <w:name w:val="Heading 1"/>
    <w:basedOn w:val="Normal"/>
    <w:next w:val="BodyText"/>
    <w:qFormat/>
    <w:pPr>
      <w:numPr>
        <w:ilvl w:val="0"/>
        <w:numId w:val="9"/>
      </w:numPr>
      <w:ind w:hanging="0" w:left="162" w:right="0"/>
      <w:outlineLvl w:val="0"/>
    </w:pPr>
    <w:rPr>
      <w:rFonts w:ascii="Times New Roman" w:hAnsi="Times New Roman" w:eastAsia="Times New Roman" w:cs="Times New Roman"/>
      <w:b/>
      <w:bCs/>
      <w:lang w:val="pt-PT" w:bidi="ar-SA"/>
    </w:rPr>
  </w:style>
  <w:style w:type="paragraph" w:styleId="Heading2">
    <w:name w:val="Heading 2"/>
    <w:basedOn w:val="Normal"/>
    <w:next w:val="Normal"/>
    <w:qFormat/>
    <w:pPr>
      <w:keepNext w:val="true"/>
      <w:numPr>
        <w:ilvl w:val="1"/>
        <w:numId w:val="1"/>
      </w:numPr>
      <w:tabs>
        <w:tab w:val="clear" w:pos="709"/>
        <w:tab w:val="left" w:pos="-414" w:leader="none"/>
        <w:tab w:val="left" w:pos="0" w:leader="none"/>
        <w:tab w:val="left" w:pos="306" w:leader="none"/>
        <w:tab w:val="left" w:pos="1026" w:leader="none"/>
        <w:tab w:val="left" w:pos="1926"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jc w:val="center"/>
      <w:outlineLvl w:val="1"/>
    </w:pPr>
    <w:rPr>
      <w:rFonts w:ascii="Arial" w:hAnsi="Arial" w:eastAsia="Batang;바탕" w:cs="Arial"/>
      <w:b/>
      <w:sz w:val="22"/>
      <w:szCs w:val="22"/>
      <w:u w:val="single"/>
      <w:lang w:val="pt-BR"/>
    </w:rPr>
  </w:style>
  <w:style w:type="paragraph" w:styleId="Heading3">
    <w:name w:val="Heading 3"/>
    <w:basedOn w:val="Normal"/>
    <w:next w:val="Normal"/>
    <w:qFormat/>
    <w:pPr>
      <w:keepNext w:val="true"/>
      <w:numPr>
        <w:ilvl w:val="2"/>
        <w:numId w:val="1"/>
      </w:numPr>
      <w:spacing w:before="240" w:after="60"/>
      <w:outlineLvl w:val="2"/>
    </w:pPr>
    <w:rPr>
      <w:rFonts w:ascii="Calibri Light" w:hAnsi="Calibri Light" w:cs="Calibri Light"/>
      <w:b/>
      <w:bCs/>
      <w:sz w:val="26"/>
      <w:szCs w:val="26"/>
      <w:lang w:val="pt-BR"/>
    </w:rPr>
  </w:style>
  <w:style w:type="character" w:styleId="WW8Num2z0">
    <w:name w:val="WW8Num2z0"/>
    <w:qFormat/>
    <w:rPr>
      <w:rFonts w:ascii="Verdana" w:hAnsi="Verdana" w:cs="Arial"/>
      <w:b/>
      <w:bCs/>
      <w:sz w:val="22"/>
      <w:szCs w:val="20"/>
    </w:rPr>
  </w:style>
  <w:style w:type="character" w:styleId="WW8Num3z0">
    <w:name w:val="WW8Num3z0"/>
    <w:qFormat/>
    <w:rPr>
      <w:rFonts w:ascii="Arial" w:hAnsi="Arial" w:eastAsia="Batang;바탕" w:cs="Arial"/>
      <w:b/>
      <w:bCs/>
      <w:i w:val="false"/>
      <w:iCs w:val="false"/>
      <w:color w:val="auto"/>
      <w:spacing w:val="-3"/>
      <w:sz w:val="22"/>
      <w:szCs w:val="22"/>
    </w:rPr>
  </w:style>
  <w:style w:type="character" w:styleId="WW8Num3z1">
    <w:name w:val="WW8Num3z1"/>
    <w:qFormat/>
    <w:rPr>
      <w:rFonts w:ascii="Arial" w:hAnsi="Arial" w:eastAsia="Batang;바탕" w:cs="Arial"/>
      <w:b/>
      <w:i w:val="false"/>
      <w:sz w:val="24"/>
      <w:szCs w:val="24"/>
      <w:u w:val="none"/>
    </w:rPr>
  </w:style>
  <w:style w:type="character" w:styleId="WW8Num4z0">
    <w:name w:val="WW8Num4z0"/>
    <w:qFormat/>
    <w:rPr>
      <w:rFonts w:ascii="Arial" w:hAnsi="Arial" w:cs="Arial"/>
      <w:b/>
      <w:bCs/>
      <w:sz w:val="22"/>
      <w:szCs w:val="22"/>
    </w:rPr>
  </w:style>
  <w:style w:type="character" w:styleId="WW8Num5z0">
    <w:name w:val="WW8Num5z0"/>
    <w:qFormat/>
    <w:rPr>
      <w:rFonts w:ascii="Arial" w:hAnsi="Arial" w:eastAsia="Batang;바탕" w:cs="Arial"/>
      <w:b/>
      <w:bCs/>
      <w:iCs/>
      <w:color w:val="auto"/>
      <w:sz w:val="22"/>
      <w:szCs w:val="22"/>
    </w:rPr>
  </w:style>
  <w:style w:type="character" w:styleId="WW8Num6z0">
    <w:name w:val="WW8Num6z0"/>
    <w:qFormat/>
    <w:rPr>
      <w:rFonts w:ascii="Arial" w:hAnsi="Arial" w:eastAsia="Batang;바탕" w:cs="Arial"/>
      <w:b/>
      <w:sz w:val="22"/>
      <w:szCs w:val="22"/>
    </w:rPr>
  </w:style>
  <w:style w:type="character" w:styleId="WW8Num7z0">
    <w:name w:val="WW8Num7z0"/>
    <w:qFormat/>
    <w:rPr>
      <w:b/>
    </w:rPr>
  </w:style>
  <w:style w:type="character" w:styleId="WW8Num8z0">
    <w:name w:val="WW8Num8z0"/>
    <w:qFormat/>
    <w:rPr>
      <w:rFonts w:ascii="Verdana" w:hAnsi="Verdana" w:eastAsia="Batang;바탕" w:cs="Arial"/>
      <w:b/>
      <w:bCs/>
      <w:sz w:val="22"/>
      <w:szCs w:val="20"/>
    </w:rPr>
  </w:style>
  <w:style w:type="character" w:styleId="WW8Num8z1">
    <w:name w:val="WW8Num8z1"/>
    <w:qFormat/>
    <w:rPr>
      <w:rFonts w:ascii="Arial" w:hAnsi="Arial" w:eastAsia="Batang;바탕" w:cs="Arial"/>
      <w:b/>
      <w:bCs/>
      <w:sz w:val="22"/>
      <w:szCs w:val="22"/>
    </w:rPr>
  </w:style>
  <w:style w:type="character" w:styleId="WW8Num9z0">
    <w:name w:val="WW8Num9z0"/>
    <w:qFormat/>
    <w:rPr/>
  </w:style>
  <w:style w:type="character" w:styleId="WW8Num9z1">
    <w:name w:val="WW8Num9z1"/>
    <w:qFormat/>
    <w:rPr>
      <w:b/>
      <w:bCs/>
    </w:rPr>
  </w:style>
  <w:style w:type="character" w:styleId="WW8Num10z0">
    <w:name w:val="WW8Num10z0"/>
    <w:qFormat/>
    <w:rPr/>
  </w:style>
  <w:style w:type="character" w:styleId="WW8Num10z1">
    <w:name w:val="WW8Num10z1"/>
    <w:qFormat/>
    <w:rPr>
      <w:b/>
      <w:bCs/>
    </w:rPr>
  </w:style>
  <w:style w:type="character" w:styleId="WW8Num12z0">
    <w:name w:val="WW8Num12z0"/>
    <w:qFormat/>
    <w:rPr>
      <w:b/>
    </w:rPr>
  </w:style>
  <w:style w:type="character" w:styleId="WW8Num13z0">
    <w:name w:val="WW8Num13z0"/>
    <w:qFormat/>
    <w:rPr>
      <w:rFonts w:ascii="Verdana" w:hAnsi="Verdana" w:cs="Verdana"/>
      <w:b/>
      <w:sz w:val="20"/>
      <w:szCs w:val="20"/>
    </w:rPr>
  </w:style>
  <w:style w:type="character" w:styleId="WW8Num13z1">
    <w:name w:val="WW8Num13z1"/>
    <w:qFormat/>
    <w:rPr>
      <w:rFonts w:ascii="Verdana" w:hAnsi="Verdana" w:cs="Arial"/>
      <w:b w:val="false"/>
      <w:i w:val="false"/>
      <w:strike w:val="false"/>
      <w:dstrike w:val="false"/>
      <w:color w:val="000000"/>
      <w:sz w:val="20"/>
      <w:szCs w:val="20"/>
      <w:u w:val="none"/>
    </w:rPr>
  </w:style>
  <w:style w:type="character" w:styleId="WW8Num13z2">
    <w:name w:val="WW8Num13z2"/>
    <w:qFormat/>
    <w:rPr>
      <w:rFonts w:ascii="Verdana" w:hAnsi="Verdana" w:cs="Arial"/>
      <w:b w:val="false"/>
      <w:i w:val="false"/>
      <w:strike w:val="false"/>
      <w:dstrike w:val="false"/>
      <w:color w:val="000000"/>
      <w:sz w:val="20"/>
      <w:szCs w:val="20"/>
    </w:rPr>
  </w:style>
  <w:style w:type="character" w:styleId="WW8Num14z0">
    <w:name w:val="WW8Num14z0"/>
    <w:qFormat/>
    <w:rPr>
      <w:rFonts w:eastAsia="NSimSun"/>
      <w:b/>
    </w:rPr>
  </w:style>
  <w:style w:type="character" w:styleId="Fontepargpadro">
    <w:name w:val="Fonte parág. padrão"/>
    <w:qFormat/>
    <w:rPr/>
  </w:style>
  <w:style w:type="character" w:styleId="WW8Num2z1">
    <w:name w:val="WW8Num2z1"/>
    <w:qFormat/>
    <w:rPr>
      <w:rFonts w:ascii="Verdana" w:hAnsi="Verdana" w:cs="Arial"/>
      <w:b/>
      <w:i w:val="false"/>
      <w:sz w:val="22"/>
      <w:szCs w:val="20"/>
      <w:u w:val="none"/>
    </w:rPr>
  </w:style>
  <w:style w:type="character" w:styleId="WW8Num5z1">
    <w:name w:val="WW8Num5z1"/>
    <w:qFormat/>
    <w:rPr>
      <w:rFonts w:ascii="Arial" w:hAnsi="Arial" w:eastAsia="Batang;바탕" w:cs="Arial"/>
      <w:b/>
      <w:i w:val="false"/>
      <w:sz w:val="24"/>
      <w:szCs w:val="24"/>
      <w:u w:val="none"/>
    </w:rPr>
  </w:style>
  <w:style w:type="character" w:styleId="WW8Num11z0">
    <w:name w:val="WW8Num11z0"/>
    <w:qFormat/>
    <w:rPr/>
  </w:style>
  <w:style w:type="character" w:styleId="WW8Num11z1">
    <w:name w:val="WW8Num11z1"/>
    <w:qFormat/>
    <w:rPr>
      <w:b/>
      <w:bCs/>
    </w:rPr>
  </w:style>
  <w:style w:type="character" w:styleId="WW8Num12z1">
    <w:name w:val="WW8Num12z1"/>
    <w:qFormat/>
    <w:rPr>
      <w:b/>
      <w:bCs/>
    </w:rPr>
  </w:style>
  <w:style w:type="character" w:styleId="Fontepargpadro4">
    <w:name w:val="Fonte parág. padrão4"/>
    <w:qFormat/>
    <w:rPr/>
  </w:style>
  <w:style w:type="character" w:styleId="Fontepargpadro3">
    <w:name w:val="Fonte parág. padrão3"/>
    <w:qFormat/>
    <w:rPr/>
  </w:style>
  <w:style w:type="character" w:styleId="Fontepargpadro2">
    <w:name w:val="Fonte parág. padrão2"/>
    <w:qFormat/>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6z1">
    <w:name w:val="WW8Num6z1"/>
    <w:qFormat/>
    <w:rPr>
      <w:rFonts w:ascii="Arial" w:hAnsi="Arial" w:cs="Arial"/>
      <w:b/>
      <w:i w:val="false"/>
      <w:sz w:val="24"/>
      <w:szCs w:val="24"/>
      <w:u w:val="none"/>
    </w:rPr>
  </w:style>
  <w:style w:type="character" w:styleId="Hyperlink">
    <w:name w:val="Hyperlink"/>
    <w:rPr>
      <w:color w:val="0000FF"/>
      <w:u w:val="single"/>
    </w:rPr>
  </w:style>
  <w:style w:type="character" w:styleId="WW8Num7z1">
    <w:name w:val="WW8Num7z1"/>
    <w:qFormat/>
    <w:rPr>
      <w:rFonts w:ascii="Arial" w:hAnsi="Arial" w:eastAsia="Batang;바탕" w:cs="Arial"/>
      <w:b/>
      <w:i w:val="false"/>
      <w:sz w:val="24"/>
      <w:szCs w:val="24"/>
      <w:u w:val="none"/>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Smbolosdenumerao">
    <w:name w:val="Símbolos de numeração"/>
    <w:qFormat/>
    <w:rPr>
      <w:rFonts w:ascii="Arial" w:hAnsi="Arial" w:cs="Arial"/>
      <w:b/>
      <w:bCs/>
      <w:sz w:val="22"/>
      <w:szCs w:val="22"/>
    </w:rPr>
  </w:style>
  <w:style w:type="character" w:styleId="Textodocorpo10">
    <w:name w:val="Texto do corpo (10)"/>
    <w:qFormat/>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17"/>
      <w:szCs w:val="17"/>
      <w:u w:val="none"/>
    </w:rPr>
  </w:style>
  <w:style w:type="character" w:styleId="Textodocorpo2Semitlico">
    <w:name w:val="Texto do corpo (2) + Sem itálico"/>
    <w:qFormat/>
    <w:rPr>
      <w:rFonts w:ascii="Arial" w:hAnsi="Arial" w:eastAsia="Arial" w:cs="Arial"/>
      <w:b w:val="false"/>
      <w:bCs w:val="false"/>
      <w:i/>
      <w:iCs/>
      <w:caps w:val="false"/>
      <w:smallCaps w:val="false"/>
      <w:strike w:val="false"/>
      <w:dstrike w:val="false"/>
      <w:color w:val="000000"/>
      <w:spacing w:val="0"/>
      <w:w w:val="100"/>
      <w:sz w:val="21"/>
      <w:szCs w:val="21"/>
      <w:u w:val="none"/>
      <w:lang w:val="pt-BR"/>
    </w:rPr>
  </w:style>
  <w:style w:type="character" w:styleId="TextodebaloChar">
    <w:name w:val="Texto de balão Char"/>
    <w:qFormat/>
    <w:rPr>
      <w:rFonts w:ascii="Tahoma" w:hAnsi="Tahoma" w:eastAsia="Tahoma" w:cs="Tahoma"/>
      <w:sz w:val="16"/>
      <w:szCs w:val="16"/>
    </w:rPr>
  </w:style>
  <w:style w:type="character" w:styleId="AssuntodocomentrioChar">
    <w:name w:val="Assunto do comentário Char"/>
    <w:qFormat/>
    <w:rPr>
      <w:rFonts w:ascii="Times New Roman" w:hAnsi="Times New Roman" w:eastAsia="Times New Roman" w:cs="Times New Roman"/>
      <w:b/>
      <w:bCs/>
    </w:rPr>
  </w:style>
  <w:style w:type="character" w:styleId="TextodecomentrioChar">
    <w:name w:val="Texto de comentário Char"/>
    <w:qFormat/>
    <w:rPr>
      <w:rFonts w:ascii="Times New Roman" w:hAnsi="Times New Roman" w:eastAsia="Times New Roman" w:cs="Times New Roman"/>
    </w:rPr>
  </w:style>
  <w:style w:type="character" w:styleId="Refdecomentrio1">
    <w:name w:val="Ref. de comentário1"/>
    <w:qFormat/>
    <w:rPr>
      <w:sz w:val="16"/>
    </w:rPr>
  </w:style>
  <w:style w:type="character" w:styleId="Ttulo1Char">
    <w:name w:val="Título 1 Char"/>
    <w:qFormat/>
    <w:rPr>
      <w:rFonts w:ascii="Times New Roman" w:hAnsi="Times New Roman" w:eastAsia="Times New Roman" w:cs="Times New Roman"/>
      <w:sz w:val="24"/>
      <w:u w:val="single"/>
    </w:rPr>
  </w:style>
  <w:style w:type="character" w:styleId="CorpodetextoChar">
    <w:name w:val="Corpo de texto Char"/>
    <w:qFormat/>
    <w:rPr>
      <w:rFonts w:ascii="Times New Roman" w:hAnsi="Times New Roman" w:eastAsia="Times New Roman" w:cs="Times New Roman"/>
    </w:rPr>
  </w:style>
  <w:style w:type="character" w:styleId="Recuodecorpodetexto3Char">
    <w:name w:val="Recuo de corpo de texto 3 Char"/>
    <w:qFormat/>
    <w:rPr>
      <w:rFonts w:ascii="Times New Roman" w:hAnsi="Times New Roman" w:eastAsia="Times New Roman" w:cs="Times New Roman"/>
      <w:sz w:val="16"/>
      <w:szCs w:val="16"/>
    </w:rPr>
  </w:style>
  <w:style w:type="character" w:styleId="RodapChar">
    <w:name w:val="Rodapé Char"/>
    <w:qFormat/>
    <w:rPr>
      <w:rFonts w:ascii="Times New Roman" w:hAnsi="Times New Roman" w:eastAsia="Times New Roman" w:cs="Times New Roman"/>
      <w:sz w:val="20"/>
      <w:szCs w:val="20"/>
    </w:rPr>
  </w:style>
  <w:style w:type="character" w:styleId="SubttuloChar">
    <w:name w:val="Subtítulo Char"/>
    <w:qFormat/>
    <w:rPr>
      <w:rFonts w:ascii="Times New Roman" w:hAnsi="Times New Roman" w:eastAsia="Times New Roman" w:cs="Times New Roman"/>
      <w:smallCaps/>
      <w:shadow/>
      <w:sz w:val="36"/>
      <w:szCs w:val="24"/>
    </w:rPr>
  </w:style>
  <w:style w:type="character" w:styleId="CabealhoChar">
    <w:name w:val="Cabeçalho Char"/>
    <w:qFormat/>
    <w:rPr>
      <w:rFonts w:ascii="Times New Roman" w:hAnsi="Times New Roman" w:eastAsia="Times New Roman" w:cs="Times New Roman"/>
      <w:sz w:val="20"/>
      <w:szCs w:val="20"/>
    </w:rPr>
  </w:style>
  <w:style w:type="character" w:styleId="Corpodetexto2Char">
    <w:name w:val="Corpo de texto 2 Char"/>
    <w:qFormat/>
    <w:rPr>
      <w:rFonts w:ascii="Arial" w:hAnsi="Arial" w:eastAsia="Arial" w:cs="Arial"/>
      <w:b/>
      <w:szCs w:val="20"/>
    </w:rPr>
  </w:style>
  <w:style w:type="character" w:styleId="Corpodetexto3Char">
    <w:name w:val="Corpo de texto 3 Char"/>
    <w:qFormat/>
    <w:rPr>
      <w:rFonts w:ascii="Arial" w:hAnsi="Arial" w:eastAsia="Arial" w:cs="Arial"/>
      <w:szCs w:val="20"/>
    </w:rPr>
  </w:style>
  <w:style w:type="character" w:styleId="TtuloChar">
    <w:name w:val="Título Char"/>
    <w:qFormat/>
    <w:rPr>
      <w:rFonts w:ascii="Arial" w:hAnsi="Arial" w:eastAsia="Times New Roman" w:cs="Arial"/>
      <w:b/>
      <w:szCs w:val="20"/>
    </w:rPr>
  </w:style>
  <w:style w:type="character" w:styleId="Fontepargpadro1">
    <w:name w:val="Fonte parág. padrão1"/>
    <w:qFormat/>
    <w:rPr/>
  </w:style>
  <w:style w:type="character" w:styleId="WW8Num37z8">
    <w:name w:val="WW8Num37z8"/>
    <w:qFormat/>
    <w:rPr/>
  </w:style>
  <w:style w:type="character" w:styleId="WW8Num37z7">
    <w:name w:val="WW8Num37z7"/>
    <w:qFormat/>
    <w:rPr/>
  </w:style>
  <w:style w:type="character" w:styleId="WW8Num37z6">
    <w:name w:val="WW8Num37z6"/>
    <w:qFormat/>
    <w:rPr/>
  </w:style>
  <w:style w:type="character" w:styleId="WW8Num37z5">
    <w:name w:val="WW8Num37z5"/>
    <w:qFormat/>
    <w:rPr/>
  </w:style>
  <w:style w:type="character" w:styleId="WW8Num37z4">
    <w:name w:val="WW8Num37z4"/>
    <w:qFormat/>
    <w:rPr/>
  </w:style>
  <w:style w:type="character" w:styleId="WW8Num37z3">
    <w:name w:val="WW8Num37z3"/>
    <w:qFormat/>
    <w:rPr/>
  </w:style>
  <w:style w:type="character" w:styleId="WW8Num37z2">
    <w:name w:val="WW8Num37z2"/>
    <w:qFormat/>
    <w:rPr/>
  </w:style>
  <w:style w:type="character" w:styleId="WW8Num37z1">
    <w:name w:val="WW8Num37z1"/>
    <w:qFormat/>
    <w:rPr/>
  </w:style>
  <w:style w:type="character" w:styleId="WW8Num37z0">
    <w:name w:val="WW8Num37z0"/>
    <w:qFormat/>
    <w:rPr>
      <w:b/>
      <w:i w:val="false"/>
      <w:spacing w:val="0"/>
      <w:kern w:val="2"/>
      <w:sz w:val="24"/>
    </w:rPr>
  </w:style>
  <w:style w:type="character" w:styleId="WW8Num36z8">
    <w:name w:val="WW8Num36z8"/>
    <w:qFormat/>
    <w:rPr/>
  </w:style>
  <w:style w:type="character" w:styleId="WW8Num36z7">
    <w:name w:val="WW8Num36z7"/>
    <w:qFormat/>
    <w:rPr/>
  </w:style>
  <w:style w:type="character" w:styleId="WW8Num36z6">
    <w:name w:val="WW8Num36z6"/>
    <w:qFormat/>
    <w:rPr/>
  </w:style>
  <w:style w:type="character" w:styleId="WW8Num36z5">
    <w:name w:val="WW8Num36z5"/>
    <w:qFormat/>
    <w:rPr/>
  </w:style>
  <w:style w:type="character" w:styleId="WW8Num36z4">
    <w:name w:val="WW8Num36z4"/>
    <w:qFormat/>
    <w:rPr/>
  </w:style>
  <w:style w:type="character" w:styleId="WW8Num36z3">
    <w:name w:val="WW8Num36z3"/>
    <w:qFormat/>
    <w:rPr/>
  </w:style>
  <w:style w:type="character" w:styleId="WW8Num36z2">
    <w:name w:val="WW8Num36z2"/>
    <w:qFormat/>
    <w:rPr/>
  </w:style>
  <w:style w:type="character" w:styleId="WW8Num36z1">
    <w:name w:val="WW8Num36z1"/>
    <w:qFormat/>
    <w:rPr/>
  </w:style>
  <w:style w:type="character" w:styleId="WW8Num36z0">
    <w:name w:val="WW8Num36z0"/>
    <w:qFormat/>
    <w:rPr>
      <w:b/>
      <w:i w:val="false"/>
      <w:spacing w:val="0"/>
      <w:kern w:val="2"/>
      <w:sz w:val="24"/>
    </w:rPr>
  </w:style>
  <w:style w:type="character" w:styleId="WW8Num35z8">
    <w:name w:val="WW8Num35z8"/>
    <w:qFormat/>
    <w:rPr/>
  </w:style>
  <w:style w:type="character" w:styleId="WW8Num35z7">
    <w:name w:val="WW8Num35z7"/>
    <w:qFormat/>
    <w:rPr/>
  </w:style>
  <w:style w:type="character" w:styleId="WW8Num35z6">
    <w:name w:val="WW8Num35z6"/>
    <w:qFormat/>
    <w:rPr/>
  </w:style>
  <w:style w:type="character" w:styleId="WW8Num35z5">
    <w:name w:val="WW8Num35z5"/>
    <w:qFormat/>
    <w:rPr/>
  </w:style>
  <w:style w:type="character" w:styleId="WW8Num35z4">
    <w:name w:val="WW8Num35z4"/>
    <w:qFormat/>
    <w:rPr/>
  </w:style>
  <w:style w:type="character" w:styleId="WW8Num35z3">
    <w:name w:val="WW8Num35z3"/>
    <w:qFormat/>
    <w:rPr/>
  </w:style>
  <w:style w:type="character" w:styleId="WW8Num35z2">
    <w:name w:val="WW8Num35z2"/>
    <w:qFormat/>
    <w:rPr/>
  </w:style>
  <w:style w:type="character" w:styleId="WW8Num35z1">
    <w:name w:val="WW8Num35z1"/>
    <w:qFormat/>
    <w:rPr/>
  </w:style>
  <w:style w:type="character" w:styleId="WW8Num35z0">
    <w:name w:val="WW8Num35z0"/>
    <w:qFormat/>
    <w:rPr>
      <w:b/>
      <w:sz w:val="24"/>
    </w:rPr>
  </w:style>
  <w:style w:type="character" w:styleId="WW8Num34z8">
    <w:name w:val="WW8Num34z8"/>
    <w:qFormat/>
    <w:rPr/>
  </w:style>
  <w:style w:type="character" w:styleId="WW8Num34z7">
    <w:name w:val="WW8Num34z7"/>
    <w:qFormat/>
    <w:rPr/>
  </w:style>
  <w:style w:type="character" w:styleId="WW8Num34z6">
    <w:name w:val="WW8Num34z6"/>
    <w:qFormat/>
    <w:rPr/>
  </w:style>
  <w:style w:type="character" w:styleId="WW8Num34z5">
    <w:name w:val="WW8Num34z5"/>
    <w:qFormat/>
    <w:rPr/>
  </w:style>
  <w:style w:type="character" w:styleId="WW8Num34z4">
    <w:name w:val="WW8Num34z4"/>
    <w:qFormat/>
    <w:rPr/>
  </w:style>
  <w:style w:type="character" w:styleId="WW8Num34z3">
    <w:name w:val="WW8Num34z3"/>
    <w:qFormat/>
    <w:rPr/>
  </w:style>
  <w:style w:type="character" w:styleId="WW8Num34z2">
    <w:name w:val="WW8Num34z2"/>
    <w:qFormat/>
    <w:rPr/>
  </w:style>
  <w:style w:type="character" w:styleId="WW8Num34z1">
    <w:name w:val="WW8Num34z1"/>
    <w:qFormat/>
    <w:rPr/>
  </w:style>
  <w:style w:type="character" w:styleId="WW8Num34z0">
    <w:name w:val="WW8Num34z0"/>
    <w:qFormat/>
    <w:rPr>
      <w:rFonts w:ascii="Verdana" w:hAnsi="Verdana" w:eastAsia="Verdana" w:cs="Verdana"/>
      <w:b/>
      <w:i w:val="false"/>
      <w:spacing w:val="0"/>
      <w:kern w:val="2"/>
      <w:sz w:val="22"/>
      <w:szCs w:val="22"/>
    </w:rPr>
  </w:style>
  <w:style w:type="character" w:styleId="WW8Num33z8">
    <w:name w:val="WW8Num33z8"/>
    <w:qFormat/>
    <w:rPr/>
  </w:style>
  <w:style w:type="character" w:styleId="WW8Num33z7">
    <w:name w:val="WW8Num33z7"/>
    <w:qFormat/>
    <w:rPr/>
  </w:style>
  <w:style w:type="character" w:styleId="WW8Num33z6">
    <w:name w:val="WW8Num33z6"/>
    <w:qFormat/>
    <w:rPr/>
  </w:style>
  <w:style w:type="character" w:styleId="WW8Num33z5">
    <w:name w:val="WW8Num33z5"/>
    <w:qFormat/>
    <w:rPr/>
  </w:style>
  <w:style w:type="character" w:styleId="WW8Num33z4">
    <w:name w:val="WW8Num33z4"/>
    <w:qFormat/>
    <w:rPr/>
  </w:style>
  <w:style w:type="character" w:styleId="WW8Num33z3">
    <w:name w:val="WW8Num33z3"/>
    <w:qFormat/>
    <w:rPr/>
  </w:style>
  <w:style w:type="character" w:styleId="WW8Num33z2">
    <w:name w:val="WW8Num33z2"/>
    <w:qFormat/>
    <w:rPr/>
  </w:style>
  <w:style w:type="character" w:styleId="WW8Num33z1">
    <w:name w:val="WW8Num33z1"/>
    <w:qFormat/>
    <w:rPr/>
  </w:style>
  <w:style w:type="character" w:styleId="WW8Num33z0">
    <w:name w:val="WW8Num33z0"/>
    <w:qFormat/>
    <w:rPr>
      <w:b/>
      <w:i w:val="false"/>
      <w:spacing w:val="0"/>
      <w:kern w:val="2"/>
      <w:sz w:val="24"/>
    </w:rPr>
  </w:style>
  <w:style w:type="character" w:styleId="WW8Num32z8">
    <w:name w:val="WW8Num32z8"/>
    <w:qFormat/>
    <w:rPr/>
  </w:style>
  <w:style w:type="character" w:styleId="WW8Num32z7">
    <w:name w:val="WW8Num32z7"/>
    <w:qFormat/>
    <w:rPr/>
  </w:style>
  <w:style w:type="character" w:styleId="WW8Num32z6">
    <w:name w:val="WW8Num32z6"/>
    <w:qFormat/>
    <w:rPr/>
  </w:style>
  <w:style w:type="character" w:styleId="WW8Num32z5">
    <w:name w:val="WW8Num32z5"/>
    <w:qFormat/>
    <w:rPr/>
  </w:style>
  <w:style w:type="character" w:styleId="WW8Num32z4">
    <w:name w:val="WW8Num32z4"/>
    <w:qFormat/>
    <w:rPr/>
  </w:style>
  <w:style w:type="character" w:styleId="WW8Num32z3">
    <w:name w:val="WW8Num32z3"/>
    <w:qFormat/>
    <w:rPr/>
  </w:style>
  <w:style w:type="character" w:styleId="WW8Num32z2">
    <w:name w:val="WW8Num32z2"/>
    <w:qFormat/>
    <w:rPr/>
  </w:style>
  <w:style w:type="character" w:styleId="WW8Num32z0">
    <w:name w:val="WW8Num32z0"/>
    <w:qFormat/>
    <w:rPr>
      <w:rFonts w:ascii="Arial" w:hAnsi="Arial" w:eastAsia="Arial" w:cs="Arial"/>
      <w:b/>
      <w:i w:val="false"/>
      <w:sz w:val="24"/>
      <w:szCs w:val="24"/>
      <w:u w:val="none"/>
    </w:rPr>
  </w:style>
  <w:style w:type="character" w:styleId="WW8Num31z8">
    <w:name w:val="WW8Num31z8"/>
    <w:qFormat/>
    <w:rPr/>
  </w:style>
  <w:style w:type="character" w:styleId="WW8Num31z7">
    <w:name w:val="WW8Num31z7"/>
    <w:qFormat/>
    <w:rPr/>
  </w:style>
  <w:style w:type="character" w:styleId="WW8Num31z6">
    <w:name w:val="WW8Num31z6"/>
    <w:qFormat/>
    <w:rPr/>
  </w:style>
  <w:style w:type="character" w:styleId="WW8Num31z5">
    <w:name w:val="WW8Num31z5"/>
    <w:qFormat/>
    <w:rPr/>
  </w:style>
  <w:style w:type="character" w:styleId="WW8Num31z4">
    <w:name w:val="WW8Num31z4"/>
    <w:qFormat/>
    <w:rPr/>
  </w:style>
  <w:style w:type="character" w:styleId="WW8Num31z3">
    <w:name w:val="WW8Num31z3"/>
    <w:qFormat/>
    <w:rPr/>
  </w:style>
  <w:style w:type="character" w:styleId="WW8Num31z2">
    <w:name w:val="WW8Num31z2"/>
    <w:qFormat/>
    <w:rPr/>
  </w:style>
  <w:style w:type="character" w:styleId="WW8Num31z1">
    <w:name w:val="WW8Num31z1"/>
    <w:qFormat/>
    <w:rPr/>
  </w:style>
  <w:style w:type="character" w:styleId="WW8Num31z0">
    <w:name w:val="WW8Num31z0"/>
    <w:qFormat/>
    <w:rPr>
      <w:b/>
    </w:rPr>
  </w:style>
  <w:style w:type="character" w:styleId="WW8Num30z8">
    <w:name w:val="WW8Num30z8"/>
    <w:qFormat/>
    <w:rPr/>
  </w:style>
  <w:style w:type="character" w:styleId="WW8Num30z7">
    <w:name w:val="WW8Num30z7"/>
    <w:qFormat/>
    <w:rPr/>
  </w:style>
  <w:style w:type="character" w:styleId="WW8Num30z6">
    <w:name w:val="WW8Num30z6"/>
    <w:qFormat/>
    <w:rPr/>
  </w:style>
  <w:style w:type="character" w:styleId="WW8Num30z5">
    <w:name w:val="WW8Num30z5"/>
    <w:qFormat/>
    <w:rPr/>
  </w:style>
  <w:style w:type="character" w:styleId="WW8Num30z4">
    <w:name w:val="WW8Num30z4"/>
    <w:qFormat/>
    <w:rPr/>
  </w:style>
  <w:style w:type="character" w:styleId="WW8Num30z3">
    <w:name w:val="WW8Num30z3"/>
    <w:qFormat/>
    <w:rPr/>
  </w:style>
  <w:style w:type="character" w:styleId="WW8Num30z2">
    <w:name w:val="WW8Num30z2"/>
    <w:qFormat/>
    <w:rPr/>
  </w:style>
  <w:style w:type="character" w:styleId="WW8Num30z1">
    <w:name w:val="WW8Num30z1"/>
    <w:qFormat/>
    <w:rPr/>
  </w:style>
  <w:style w:type="character" w:styleId="WW8Num30z0">
    <w:name w:val="WW8Num30z0"/>
    <w:qFormat/>
    <w:rPr>
      <w:rFonts w:ascii="Arial" w:hAnsi="Arial" w:eastAsia="Arial" w:cs="Arial"/>
      <w:b/>
      <w:i w:val="false"/>
      <w:spacing w:val="0"/>
      <w:kern w:val="2"/>
      <w:sz w:val="24"/>
      <w:szCs w:val="24"/>
    </w:rPr>
  </w:style>
  <w:style w:type="character" w:styleId="WW8Num29z8">
    <w:name w:val="WW8Num29z8"/>
    <w:qFormat/>
    <w:rPr/>
  </w:style>
  <w:style w:type="character" w:styleId="WW8Num29z7">
    <w:name w:val="WW8Num29z7"/>
    <w:qFormat/>
    <w:rPr/>
  </w:style>
  <w:style w:type="character" w:styleId="WW8Num29z6">
    <w:name w:val="WW8Num29z6"/>
    <w:qFormat/>
    <w:rPr/>
  </w:style>
  <w:style w:type="character" w:styleId="WW8Num29z5">
    <w:name w:val="WW8Num29z5"/>
    <w:qFormat/>
    <w:rPr/>
  </w:style>
  <w:style w:type="character" w:styleId="WW8Num29z4">
    <w:name w:val="WW8Num29z4"/>
    <w:qFormat/>
    <w:rPr/>
  </w:style>
  <w:style w:type="character" w:styleId="WW8Num29z3">
    <w:name w:val="WW8Num29z3"/>
    <w:qFormat/>
    <w:rPr/>
  </w:style>
  <w:style w:type="character" w:styleId="WW8Num29z2">
    <w:name w:val="WW8Num29z2"/>
    <w:qFormat/>
    <w:rPr/>
  </w:style>
  <w:style w:type="character" w:styleId="WW8Num29z1">
    <w:name w:val="WW8Num29z1"/>
    <w:qFormat/>
    <w:rPr/>
  </w:style>
  <w:style w:type="character" w:styleId="WW8Num29z0">
    <w:name w:val="WW8Num29z0"/>
    <w:qFormat/>
    <w:rPr>
      <w:rFonts w:ascii="Arial" w:hAnsi="Arial" w:eastAsia="Arial" w:cs="Arial"/>
      <w:b/>
      <w:i w:val="false"/>
      <w:color w:val="000000"/>
      <w:sz w:val="24"/>
      <w:szCs w:val="24"/>
      <w:u w:val="none"/>
    </w:rPr>
  </w:style>
  <w:style w:type="character" w:styleId="WW8Num28z8">
    <w:name w:val="WW8Num28z8"/>
    <w:qFormat/>
    <w:rPr/>
  </w:style>
  <w:style w:type="character" w:styleId="WW8Num28z7">
    <w:name w:val="WW8Num28z7"/>
    <w:qFormat/>
    <w:rPr/>
  </w:style>
  <w:style w:type="character" w:styleId="WW8Num28z6">
    <w:name w:val="WW8Num28z6"/>
    <w:qFormat/>
    <w:rPr/>
  </w:style>
  <w:style w:type="character" w:styleId="WW8Num28z5">
    <w:name w:val="WW8Num28z5"/>
    <w:qFormat/>
    <w:rPr/>
  </w:style>
  <w:style w:type="character" w:styleId="WW8Num28z4">
    <w:name w:val="WW8Num28z4"/>
    <w:qFormat/>
    <w:rPr/>
  </w:style>
  <w:style w:type="character" w:styleId="WW8Num28z3">
    <w:name w:val="WW8Num28z3"/>
    <w:qFormat/>
    <w:rPr/>
  </w:style>
  <w:style w:type="character" w:styleId="WW8Num28z2">
    <w:name w:val="WW8Num28z2"/>
    <w:qFormat/>
    <w:rPr/>
  </w:style>
  <w:style w:type="character" w:styleId="WW8Num28z1">
    <w:name w:val="WW8Num28z1"/>
    <w:qFormat/>
    <w:rPr/>
  </w:style>
  <w:style w:type="character" w:styleId="WW8Num28z0">
    <w:name w:val="WW8Num28z0"/>
    <w:qFormat/>
    <w:rPr>
      <w:rFonts w:ascii="Arial" w:hAnsi="Arial" w:eastAsia="Arial" w:cs="Arial"/>
      <w:b/>
      <w:i w:val="false"/>
      <w:spacing w:val="0"/>
      <w:kern w:val="2"/>
      <w:sz w:val="24"/>
      <w:szCs w:val="24"/>
    </w:rPr>
  </w:style>
  <w:style w:type="character" w:styleId="WW8Num27z8">
    <w:name w:val="WW8Num27z8"/>
    <w:qFormat/>
    <w:rPr/>
  </w:style>
  <w:style w:type="character" w:styleId="WW8Num27z7">
    <w:name w:val="WW8Num27z7"/>
    <w:qFormat/>
    <w:rPr/>
  </w:style>
  <w:style w:type="character" w:styleId="WW8Num27z6">
    <w:name w:val="WW8Num27z6"/>
    <w:qFormat/>
    <w:rPr/>
  </w:style>
  <w:style w:type="character" w:styleId="WW8Num27z5">
    <w:name w:val="WW8Num27z5"/>
    <w:qFormat/>
    <w:rPr/>
  </w:style>
  <w:style w:type="character" w:styleId="WW8Num27z4">
    <w:name w:val="WW8Num27z4"/>
    <w:qFormat/>
    <w:rPr/>
  </w:style>
  <w:style w:type="character" w:styleId="WW8Num27z3">
    <w:name w:val="WW8Num27z3"/>
    <w:qFormat/>
    <w:rPr/>
  </w:style>
  <w:style w:type="character" w:styleId="WW8Num27z2">
    <w:name w:val="WW8Num27z2"/>
    <w:qFormat/>
    <w:rPr/>
  </w:style>
  <w:style w:type="character" w:styleId="WW8Num27z1">
    <w:name w:val="WW8Num27z1"/>
    <w:qFormat/>
    <w:rPr/>
  </w:style>
  <w:style w:type="character" w:styleId="WW8Num27z0">
    <w:name w:val="WW8Num27z0"/>
    <w:qFormat/>
    <w:rPr>
      <w:rFonts w:ascii="Verdana" w:hAnsi="Verdana" w:eastAsia="Verdana" w:cs="Verdana"/>
      <w:b/>
      <w:i w:val="false"/>
      <w:spacing w:val="0"/>
      <w:kern w:val="2"/>
      <w:sz w:val="22"/>
      <w:szCs w:val="22"/>
    </w:rPr>
  </w:style>
  <w:style w:type="character" w:styleId="WW8Num26z1">
    <w:name w:val="WW8Num26z1"/>
    <w:qFormat/>
    <w:rPr>
      <w:rFonts w:ascii="Arial" w:hAnsi="Arial" w:eastAsia="Arial" w:cs="Arial"/>
      <w:b/>
      <w:i w:val="false"/>
      <w:sz w:val="24"/>
      <w:szCs w:val="24"/>
      <w:u w:val="none"/>
    </w:rPr>
  </w:style>
  <w:style w:type="character" w:styleId="WW8Num26z0">
    <w:name w:val="WW8Num26z0"/>
    <w:qFormat/>
    <w:rPr/>
  </w:style>
  <w:style w:type="character" w:styleId="WW8Num25z8">
    <w:name w:val="WW8Num25z8"/>
    <w:qFormat/>
    <w:rPr/>
  </w:style>
  <w:style w:type="character" w:styleId="WW8Num25z7">
    <w:name w:val="WW8Num25z7"/>
    <w:qFormat/>
    <w:rPr/>
  </w:style>
  <w:style w:type="character" w:styleId="WW8Num25z6">
    <w:name w:val="WW8Num25z6"/>
    <w:qFormat/>
    <w:rPr/>
  </w:style>
  <w:style w:type="character" w:styleId="WW8Num25z5">
    <w:name w:val="WW8Num25z5"/>
    <w:qFormat/>
    <w:rPr/>
  </w:style>
  <w:style w:type="character" w:styleId="WW8Num25z4">
    <w:name w:val="WW8Num25z4"/>
    <w:qFormat/>
    <w:rPr/>
  </w:style>
  <w:style w:type="character" w:styleId="WW8Num25z3">
    <w:name w:val="WW8Num25z3"/>
    <w:qFormat/>
    <w:rPr/>
  </w:style>
  <w:style w:type="character" w:styleId="WW8Num25z2">
    <w:name w:val="WW8Num25z2"/>
    <w:qFormat/>
    <w:rPr/>
  </w:style>
  <w:style w:type="character" w:styleId="WW8Num25z1">
    <w:name w:val="WW8Num25z1"/>
    <w:qFormat/>
    <w:rPr/>
  </w:style>
  <w:style w:type="character" w:styleId="WW8Num25z0">
    <w:name w:val="WW8Num25z0"/>
    <w:qFormat/>
    <w:rPr>
      <w:rFonts w:ascii="Arial" w:hAnsi="Arial" w:eastAsia="Arial" w:cs="Arial"/>
      <w:b/>
      <w:i w:val="false"/>
      <w:spacing w:val="0"/>
      <w:kern w:val="2"/>
      <w:sz w:val="24"/>
      <w:szCs w:val="24"/>
    </w:rPr>
  </w:style>
  <w:style w:type="character" w:styleId="WW8Num24z8">
    <w:name w:val="WW8Num24z8"/>
    <w:qFormat/>
    <w:rPr/>
  </w:style>
  <w:style w:type="character" w:styleId="WW8Num24z7">
    <w:name w:val="WW8Num24z7"/>
    <w:qFormat/>
    <w:rPr/>
  </w:style>
  <w:style w:type="character" w:styleId="WW8Num24z6">
    <w:name w:val="WW8Num24z6"/>
    <w:qFormat/>
    <w:rPr/>
  </w:style>
  <w:style w:type="character" w:styleId="WW8Num24z5">
    <w:name w:val="WW8Num24z5"/>
    <w:qFormat/>
    <w:rPr/>
  </w:style>
  <w:style w:type="character" w:styleId="WW8Num24z4">
    <w:name w:val="WW8Num24z4"/>
    <w:qFormat/>
    <w:rPr/>
  </w:style>
  <w:style w:type="character" w:styleId="WW8Num24z3">
    <w:name w:val="WW8Num24z3"/>
    <w:qFormat/>
    <w:rPr/>
  </w:style>
  <w:style w:type="character" w:styleId="WW8Num24z2">
    <w:name w:val="WW8Num24z2"/>
    <w:qFormat/>
    <w:rPr/>
  </w:style>
  <w:style w:type="character" w:styleId="WW8Num24z1">
    <w:name w:val="WW8Num24z1"/>
    <w:qFormat/>
    <w:rPr/>
  </w:style>
  <w:style w:type="character" w:styleId="WW8Num24z0">
    <w:name w:val="WW8Num24z0"/>
    <w:qFormat/>
    <w:rPr>
      <w:rFonts w:ascii="Arial" w:hAnsi="Arial" w:eastAsia="Arial" w:cs="Arial"/>
      <w:b/>
      <w:i w:val="false"/>
      <w:spacing w:val="0"/>
      <w:kern w:val="2"/>
      <w:sz w:val="24"/>
      <w:szCs w:val="24"/>
    </w:rPr>
  </w:style>
  <w:style w:type="character" w:styleId="WW8Num23z8">
    <w:name w:val="WW8Num23z8"/>
    <w:qFormat/>
    <w:rPr/>
  </w:style>
  <w:style w:type="character" w:styleId="WW8Num23z7">
    <w:name w:val="WW8Num23z7"/>
    <w:qFormat/>
    <w:rPr/>
  </w:style>
  <w:style w:type="character" w:styleId="WW8Num23z6">
    <w:name w:val="WW8Num23z6"/>
    <w:qFormat/>
    <w:rPr/>
  </w:style>
  <w:style w:type="character" w:styleId="WW8Num23z5">
    <w:name w:val="WW8Num23z5"/>
    <w:qFormat/>
    <w:rPr/>
  </w:style>
  <w:style w:type="character" w:styleId="WW8Num23z4">
    <w:name w:val="WW8Num23z4"/>
    <w:qFormat/>
    <w:rPr/>
  </w:style>
  <w:style w:type="character" w:styleId="WW8Num23z3">
    <w:name w:val="WW8Num23z3"/>
    <w:qFormat/>
    <w:rPr/>
  </w:style>
  <w:style w:type="character" w:styleId="WW8Num23z2">
    <w:name w:val="WW8Num23z2"/>
    <w:qFormat/>
    <w:rPr/>
  </w:style>
  <w:style w:type="character" w:styleId="WW8Num23z1">
    <w:name w:val="WW8Num23z1"/>
    <w:qFormat/>
    <w:rPr/>
  </w:style>
  <w:style w:type="character" w:styleId="WW8Num23z0">
    <w:name w:val="WW8Num23z0"/>
    <w:qFormat/>
    <w:rPr>
      <w:rFonts w:ascii="Arial" w:hAnsi="Arial" w:eastAsia="Arial" w:cs="Arial"/>
      <w:b/>
      <w:i w:val="false"/>
      <w:spacing w:val="0"/>
      <w:kern w:val="2"/>
      <w:sz w:val="24"/>
      <w:szCs w:val="24"/>
    </w:rPr>
  </w:style>
  <w:style w:type="character" w:styleId="WW8Num22z8">
    <w:name w:val="WW8Num22z8"/>
    <w:qFormat/>
    <w:rPr/>
  </w:style>
  <w:style w:type="character" w:styleId="WW8Num22z7">
    <w:name w:val="WW8Num22z7"/>
    <w:qFormat/>
    <w:rPr/>
  </w:style>
  <w:style w:type="character" w:styleId="WW8Num22z6">
    <w:name w:val="WW8Num22z6"/>
    <w:qFormat/>
    <w:rPr/>
  </w:style>
  <w:style w:type="character" w:styleId="WW8Num22z5">
    <w:name w:val="WW8Num22z5"/>
    <w:qFormat/>
    <w:rPr/>
  </w:style>
  <w:style w:type="character" w:styleId="WW8Num22z4">
    <w:name w:val="WW8Num22z4"/>
    <w:qFormat/>
    <w:rPr/>
  </w:style>
  <w:style w:type="character" w:styleId="WW8Num22z3">
    <w:name w:val="WW8Num22z3"/>
    <w:qFormat/>
    <w:rPr/>
  </w:style>
  <w:style w:type="character" w:styleId="WW8Num22z2">
    <w:name w:val="WW8Num22z2"/>
    <w:qFormat/>
    <w:rPr/>
  </w:style>
  <w:style w:type="character" w:styleId="WW8Num22z1">
    <w:name w:val="WW8Num22z1"/>
    <w:qFormat/>
    <w:rPr/>
  </w:style>
  <w:style w:type="character" w:styleId="WW8Num22z0">
    <w:name w:val="WW8Num22z0"/>
    <w:qFormat/>
    <w:rPr>
      <w:rFonts w:ascii="Arial" w:hAnsi="Arial" w:eastAsia="Arial" w:cs="Arial"/>
      <w:b/>
      <w:i w:val="false"/>
      <w:spacing w:val="0"/>
      <w:kern w:val="2"/>
      <w:sz w:val="24"/>
      <w:szCs w:val="24"/>
    </w:rPr>
  </w:style>
  <w:style w:type="character" w:styleId="WW8Num21z8">
    <w:name w:val="WW8Num21z8"/>
    <w:qFormat/>
    <w:rPr/>
  </w:style>
  <w:style w:type="character" w:styleId="WW8Num21z7">
    <w:name w:val="WW8Num21z7"/>
    <w:qFormat/>
    <w:rPr/>
  </w:style>
  <w:style w:type="character" w:styleId="WW8Num21z6">
    <w:name w:val="WW8Num21z6"/>
    <w:qFormat/>
    <w:rPr/>
  </w:style>
  <w:style w:type="character" w:styleId="WW8Num21z5">
    <w:name w:val="WW8Num21z5"/>
    <w:qFormat/>
    <w:rPr/>
  </w:style>
  <w:style w:type="character" w:styleId="WW8Num21z4">
    <w:name w:val="WW8Num21z4"/>
    <w:qFormat/>
    <w:rPr/>
  </w:style>
  <w:style w:type="character" w:styleId="WW8Num21z3">
    <w:name w:val="WW8Num21z3"/>
    <w:qFormat/>
    <w:rPr/>
  </w:style>
  <w:style w:type="character" w:styleId="WW8Num21z2">
    <w:name w:val="WW8Num21z2"/>
    <w:qFormat/>
    <w:rPr/>
  </w:style>
  <w:style w:type="character" w:styleId="WW8Num21z1">
    <w:name w:val="WW8Num21z1"/>
    <w:qFormat/>
    <w:rPr/>
  </w:style>
  <w:style w:type="character" w:styleId="WW8Num21z0">
    <w:name w:val="WW8Num21z0"/>
    <w:qFormat/>
    <w:rPr>
      <w:rFonts w:ascii="Arial" w:hAnsi="Arial" w:eastAsia="Arial" w:cs="Arial"/>
      <w:b/>
      <w:i w:val="false"/>
      <w:spacing w:val="0"/>
      <w:kern w:val="2"/>
      <w:sz w:val="24"/>
      <w:szCs w:val="20"/>
    </w:rPr>
  </w:style>
  <w:style w:type="character" w:styleId="WW8Num20z8">
    <w:name w:val="WW8Num20z8"/>
    <w:qFormat/>
    <w:rPr/>
  </w:style>
  <w:style w:type="character" w:styleId="WW8Num20z7">
    <w:name w:val="WW8Num20z7"/>
    <w:qFormat/>
    <w:rPr/>
  </w:style>
  <w:style w:type="character" w:styleId="WW8Num20z6">
    <w:name w:val="WW8Num20z6"/>
    <w:qFormat/>
    <w:rPr/>
  </w:style>
  <w:style w:type="character" w:styleId="WW8Num20z5">
    <w:name w:val="WW8Num20z5"/>
    <w:qFormat/>
    <w:rPr/>
  </w:style>
  <w:style w:type="character" w:styleId="WW8Num20z4">
    <w:name w:val="WW8Num20z4"/>
    <w:qFormat/>
    <w:rPr/>
  </w:style>
  <w:style w:type="character" w:styleId="WW8Num20z3">
    <w:name w:val="WW8Num20z3"/>
    <w:qFormat/>
    <w:rPr/>
  </w:style>
  <w:style w:type="character" w:styleId="WW8Num20z2">
    <w:name w:val="WW8Num20z2"/>
    <w:qFormat/>
    <w:rPr/>
  </w:style>
  <w:style w:type="character" w:styleId="WW8Num20z1">
    <w:name w:val="WW8Num20z1"/>
    <w:qFormat/>
    <w:rPr/>
  </w:style>
  <w:style w:type="character" w:styleId="WW8Num20z0">
    <w:name w:val="WW8Num20z0"/>
    <w:qFormat/>
    <w:rPr>
      <w:rFonts w:ascii="Arial" w:hAnsi="Arial" w:eastAsia="Arial" w:cs="Arial"/>
      <w:b/>
    </w:rPr>
  </w:style>
  <w:style w:type="character" w:styleId="WW8Num19z8">
    <w:name w:val="WW8Num19z8"/>
    <w:qFormat/>
    <w:rPr/>
  </w:style>
  <w:style w:type="character" w:styleId="WW8Num19z7">
    <w:name w:val="WW8Num19z7"/>
    <w:qFormat/>
    <w:rPr/>
  </w:style>
  <w:style w:type="character" w:styleId="WW8Num19z6">
    <w:name w:val="WW8Num19z6"/>
    <w:qFormat/>
    <w:rPr/>
  </w:style>
  <w:style w:type="character" w:styleId="WW8Num19z5">
    <w:name w:val="WW8Num19z5"/>
    <w:qFormat/>
    <w:rPr/>
  </w:style>
  <w:style w:type="character" w:styleId="WW8Num19z4">
    <w:name w:val="WW8Num19z4"/>
    <w:qFormat/>
    <w:rPr/>
  </w:style>
  <w:style w:type="character" w:styleId="WW8Num19z3">
    <w:name w:val="WW8Num19z3"/>
    <w:qFormat/>
    <w:rPr/>
  </w:style>
  <w:style w:type="character" w:styleId="WW8Num19z2">
    <w:name w:val="WW8Num19z2"/>
    <w:qFormat/>
    <w:rPr/>
  </w:style>
  <w:style w:type="character" w:styleId="WW8Num19z1">
    <w:name w:val="WW8Num19z1"/>
    <w:qFormat/>
    <w:rPr/>
  </w:style>
  <w:style w:type="character" w:styleId="WW8Num19z0">
    <w:name w:val="WW8Num19z0"/>
    <w:qFormat/>
    <w:rPr>
      <w:b/>
      <w:i w:val="false"/>
      <w:spacing w:val="0"/>
      <w:kern w:val="2"/>
      <w:sz w:val="24"/>
    </w:rPr>
  </w:style>
  <w:style w:type="character" w:styleId="WW8Num18z8">
    <w:name w:val="WW8Num18z8"/>
    <w:qFormat/>
    <w:rPr/>
  </w:style>
  <w:style w:type="character" w:styleId="WW8Num18z7">
    <w:name w:val="WW8Num18z7"/>
    <w:qFormat/>
    <w:rPr/>
  </w:style>
  <w:style w:type="character" w:styleId="WW8Num18z6">
    <w:name w:val="WW8Num18z6"/>
    <w:qFormat/>
    <w:rPr/>
  </w:style>
  <w:style w:type="character" w:styleId="WW8Num18z5">
    <w:name w:val="WW8Num18z5"/>
    <w:qFormat/>
    <w:rPr/>
  </w:style>
  <w:style w:type="character" w:styleId="WW8Num18z4">
    <w:name w:val="WW8Num18z4"/>
    <w:qFormat/>
    <w:rPr/>
  </w:style>
  <w:style w:type="character" w:styleId="WW8Num18z3">
    <w:name w:val="WW8Num18z3"/>
    <w:qFormat/>
    <w:rPr/>
  </w:style>
  <w:style w:type="character" w:styleId="WW8Num18z2">
    <w:name w:val="WW8Num18z2"/>
    <w:qFormat/>
    <w:rPr/>
  </w:style>
  <w:style w:type="character" w:styleId="WW8Num18z1">
    <w:name w:val="WW8Num18z1"/>
    <w:qFormat/>
    <w:rPr/>
  </w:style>
  <w:style w:type="character" w:styleId="WW8Num18z0">
    <w:name w:val="WW8Num18z0"/>
    <w:qFormat/>
    <w:rPr>
      <w:rFonts w:ascii="Arial" w:hAnsi="Arial" w:eastAsia="Arial" w:cs="Arial"/>
      <w:b/>
      <w:i w:val="false"/>
      <w:sz w:val="20"/>
      <w:szCs w:val="20"/>
      <w:u w:val="none"/>
    </w:rPr>
  </w:style>
  <w:style w:type="character" w:styleId="WW8Num17z8">
    <w:name w:val="WW8Num17z8"/>
    <w:qFormat/>
    <w:rPr/>
  </w:style>
  <w:style w:type="character" w:styleId="WW8Num17z7">
    <w:name w:val="WW8Num17z7"/>
    <w:qFormat/>
    <w:rPr/>
  </w:style>
  <w:style w:type="character" w:styleId="WW8Num17z6">
    <w:name w:val="WW8Num17z6"/>
    <w:qFormat/>
    <w:rPr/>
  </w:style>
  <w:style w:type="character" w:styleId="WW8Num17z5">
    <w:name w:val="WW8Num17z5"/>
    <w:qFormat/>
    <w:rPr/>
  </w:style>
  <w:style w:type="character" w:styleId="WW8Num17z4">
    <w:name w:val="WW8Num17z4"/>
    <w:qFormat/>
    <w:rPr/>
  </w:style>
  <w:style w:type="character" w:styleId="WW8Num17z3">
    <w:name w:val="WW8Num17z3"/>
    <w:qFormat/>
    <w:rPr/>
  </w:style>
  <w:style w:type="character" w:styleId="WW8Num17z2">
    <w:name w:val="WW8Num17z2"/>
    <w:qFormat/>
    <w:rPr/>
  </w:style>
  <w:style w:type="character" w:styleId="WW8Num17z1">
    <w:name w:val="WW8Num17z1"/>
    <w:qFormat/>
    <w:rPr/>
  </w:style>
  <w:style w:type="character" w:styleId="WW8Num17z0">
    <w:name w:val="WW8Num17z0"/>
    <w:qFormat/>
    <w:rPr/>
  </w:style>
  <w:style w:type="character" w:styleId="WW8Num16z8">
    <w:name w:val="WW8Num16z8"/>
    <w:qFormat/>
    <w:rPr/>
  </w:style>
  <w:style w:type="character" w:styleId="WW8Num16z7">
    <w:name w:val="WW8Num16z7"/>
    <w:qFormat/>
    <w:rPr/>
  </w:style>
  <w:style w:type="character" w:styleId="WW8Num16z6">
    <w:name w:val="WW8Num16z6"/>
    <w:qFormat/>
    <w:rPr/>
  </w:style>
  <w:style w:type="character" w:styleId="WW8Num16z5">
    <w:name w:val="WW8Num16z5"/>
    <w:qFormat/>
    <w:rPr/>
  </w:style>
  <w:style w:type="character" w:styleId="WW8Num16z4">
    <w:name w:val="WW8Num16z4"/>
    <w:qFormat/>
    <w:rPr/>
  </w:style>
  <w:style w:type="character" w:styleId="WW8Num16z3">
    <w:name w:val="WW8Num16z3"/>
    <w:qFormat/>
    <w:rPr/>
  </w:style>
  <w:style w:type="character" w:styleId="WW8Num16z2">
    <w:name w:val="WW8Num16z2"/>
    <w:qFormat/>
    <w:rPr/>
  </w:style>
  <w:style w:type="character" w:styleId="WW8Num16z1">
    <w:name w:val="WW8Num16z1"/>
    <w:qFormat/>
    <w:rPr/>
  </w:style>
  <w:style w:type="character" w:styleId="WW8Num16z0">
    <w:name w:val="WW8Num16z0"/>
    <w:qFormat/>
    <w:rPr>
      <w:sz w:val="20"/>
    </w:rPr>
  </w:style>
  <w:style w:type="character" w:styleId="WW8Num15z8">
    <w:name w:val="WW8Num15z8"/>
    <w:qFormat/>
    <w:rPr/>
  </w:style>
  <w:style w:type="character" w:styleId="WW8Num15z7">
    <w:name w:val="WW8Num15z7"/>
    <w:qFormat/>
    <w:rPr/>
  </w:style>
  <w:style w:type="character" w:styleId="WW8Num15z6">
    <w:name w:val="WW8Num15z6"/>
    <w:qFormat/>
    <w:rPr/>
  </w:style>
  <w:style w:type="character" w:styleId="WW8Num15z5">
    <w:name w:val="WW8Num15z5"/>
    <w:qFormat/>
    <w:rPr/>
  </w:style>
  <w:style w:type="character" w:styleId="WW8Num15z4">
    <w:name w:val="WW8Num15z4"/>
    <w:qFormat/>
    <w:rPr/>
  </w:style>
  <w:style w:type="character" w:styleId="WW8Num15z3">
    <w:name w:val="WW8Num15z3"/>
    <w:qFormat/>
    <w:rPr/>
  </w:style>
  <w:style w:type="character" w:styleId="WW8Num15z2">
    <w:name w:val="WW8Num15z2"/>
    <w:qFormat/>
    <w:rPr/>
  </w:style>
  <w:style w:type="character" w:styleId="WW8Num15z1">
    <w:name w:val="WW8Num15z1"/>
    <w:qFormat/>
    <w:rPr/>
  </w:style>
  <w:style w:type="character" w:styleId="WW8Num15z0">
    <w:name w:val="WW8Num15z0"/>
    <w:qFormat/>
    <w:rPr/>
  </w:style>
  <w:style w:type="character" w:styleId="WW8Num14z8">
    <w:name w:val="WW8Num14z8"/>
    <w:qFormat/>
    <w:rPr/>
  </w:style>
  <w:style w:type="character" w:styleId="WW8Num14z7">
    <w:name w:val="WW8Num14z7"/>
    <w:qFormat/>
    <w:rPr/>
  </w:style>
  <w:style w:type="character" w:styleId="WW8Num14z6">
    <w:name w:val="WW8Num14z6"/>
    <w:qFormat/>
    <w:rPr/>
  </w:style>
  <w:style w:type="character" w:styleId="WW8Num14z5">
    <w:name w:val="WW8Num14z5"/>
    <w:qFormat/>
    <w:rPr/>
  </w:style>
  <w:style w:type="character" w:styleId="WW8Num14z4">
    <w:name w:val="WW8Num14z4"/>
    <w:qFormat/>
    <w:rPr/>
  </w:style>
  <w:style w:type="character" w:styleId="WW8Num14z3">
    <w:name w:val="WW8Num14z3"/>
    <w:qFormat/>
    <w:rPr/>
  </w:style>
  <w:style w:type="character" w:styleId="WW8Num14z2">
    <w:name w:val="WW8Num14z2"/>
    <w:qFormat/>
    <w:rPr/>
  </w:style>
  <w:style w:type="character" w:styleId="WW8Num14z1">
    <w:name w:val="WW8Num14z1"/>
    <w:qFormat/>
    <w:rPr/>
  </w:style>
  <w:style w:type="character" w:styleId="WW8Num12z8">
    <w:name w:val="WW8Num12z8"/>
    <w:qFormat/>
    <w:rPr/>
  </w:style>
  <w:style w:type="character" w:styleId="WW8Num12z7">
    <w:name w:val="WW8Num12z7"/>
    <w:qFormat/>
    <w:rPr/>
  </w:style>
  <w:style w:type="character" w:styleId="WW8Num12z6">
    <w:name w:val="WW8Num12z6"/>
    <w:qFormat/>
    <w:rPr/>
  </w:style>
  <w:style w:type="character" w:styleId="WW8Num12z5">
    <w:name w:val="WW8Num12z5"/>
    <w:qFormat/>
    <w:rPr/>
  </w:style>
  <w:style w:type="character" w:styleId="WW8Num12z4">
    <w:name w:val="WW8Num12z4"/>
    <w:qFormat/>
    <w:rPr/>
  </w:style>
  <w:style w:type="character" w:styleId="WW8Num12z3">
    <w:name w:val="WW8Num12z3"/>
    <w:qFormat/>
    <w:rPr/>
  </w:style>
  <w:style w:type="character" w:styleId="WW8Num12z2">
    <w:name w:val="WW8Num12z2"/>
    <w:qFormat/>
    <w:rPr/>
  </w:style>
  <w:style w:type="character" w:styleId="WW8Num10z8">
    <w:name w:val="WW8Num10z8"/>
    <w:qFormat/>
    <w:rPr/>
  </w:style>
  <w:style w:type="character" w:styleId="WW8Num10z7">
    <w:name w:val="WW8Num10z7"/>
    <w:qFormat/>
    <w:rPr/>
  </w:style>
  <w:style w:type="character" w:styleId="WW8Num10z6">
    <w:name w:val="WW8Num10z6"/>
    <w:qFormat/>
    <w:rPr/>
  </w:style>
  <w:style w:type="character" w:styleId="WW8Num10z5">
    <w:name w:val="WW8Num10z5"/>
    <w:qFormat/>
    <w:rPr/>
  </w:style>
  <w:style w:type="character" w:styleId="WW8Num10z4">
    <w:name w:val="WW8Num10z4"/>
    <w:qFormat/>
    <w:rPr/>
  </w:style>
  <w:style w:type="character" w:styleId="WW8Num10z3">
    <w:name w:val="WW8Num10z3"/>
    <w:qFormat/>
    <w:rPr/>
  </w:style>
  <w:style w:type="character" w:styleId="WW8Num10z2">
    <w:name w:val="WW8Num10z2"/>
    <w:qFormat/>
    <w:rPr/>
  </w:style>
  <w:style w:type="character" w:styleId="WW8Num9z8">
    <w:name w:val="WW8Num9z8"/>
    <w:qFormat/>
    <w:rPr/>
  </w:style>
  <w:style w:type="character" w:styleId="WW8Num9z7">
    <w:name w:val="WW8Num9z7"/>
    <w:qFormat/>
    <w:rPr/>
  </w:style>
  <w:style w:type="character" w:styleId="WW8Num9z6">
    <w:name w:val="WW8Num9z6"/>
    <w:qFormat/>
    <w:rPr/>
  </w:style>
  <w:style w:type="character" w:styleId="WW8Num9z5">
    <w:name w:val="WW8Num9z5"/>
    <w:qFormat/>
    <w:rPr/>
  </w:style>
  <w:style w:type="character" w:styleId="WW8Num9z4">
    <w:name w:val="WW8Num9z4"/>
    <w:qFormat/>
    <w:rPr/>
  </w:style>
  <w:style w:type="character" w:styleId="WW8Num9z3">
    <w:name w:val="WW8Num9z3"/>
    <w:qFormat/>
    <w:rPr/>
  </w:style>
  <w:style w:type="character" w:styleId="WW8Num9z2">
    <w:name w:val="WW8Num9z2"/>
    <w:qFormat/>
    <w:rPr/>
  </w:style>
  <w:style w:type="character" w:styleId="WW8Num6z8">
    <w:name w:val="WW8Num6z8"/>
    <w:qFormat/>
    <w:rPr/>
  </w:style>
  <w:style w:type="character" w:styleId="WW8Num6z7">
    <w:name w:val="WW8Num6z7"/>
    <w:qFormat/>
    <w:rPr/>
  </w:style>
  <w:style w:type="character" w:styleId="WW8Num6z6">
    <w:name w:val="WW8Num6z6"/>
    <w:qFormat/>
    <w:rPr/>
  </w:style>
  <w:style w:type="character" w:styleId="WW8Num6z5">
    <w:name w:val="WW8Num6z5"/>
    <w:qFormat/>
    <w:rPr/>
  </w:style>
  <w:style w:type="character" w:styleId="WW8Num6z4">
    <w:name w:val="WW8Num6z4"/>
    <w:qFormat/>
    <w:rPr/>
  </w:style>
  <w:style w:type="character" w:styleId="WW8Num6z3">
    <w:name w:val="WW8Num6z3"/>
    <w:qFormat/>
    <w:rPr/>
  </w:style>
  <w:style w:type="character" w:styleId="WW8Num6z2">
    <w:name w:val="WW8Num6z2"/>
    <w:qFormat/>
    <w:rPr/>
  </w:style>
  <w:style w:type="character" w:styleId="WW8Num4z8">
    <w:name w:val="WW8Num4z8"/>
    <w:qFormat/>
    <w:rPr/>
  </w:style>
  <w:style w:type="character" w:styleId="WW8Num4z7">
    <w:name w:val="WW8Num4z7"/>
    <w:qFormat/>
    <w:rPr/>
  </w:style>
  <w:style w:type="character" w:styleId="WW8Num4z6">
    <w:name w:val="WW8Num4z6"/>
    <w:qFormat/>
    <w:rPr/>
  </w:style>
  <w:style w:type="character" w:styleId="WW8Num4z5">
    <w:name w:val="WW8Num4z5"/>
    <w:qFormat/>
    <w:rPr/>
  </w:style>
  <w:style w:type="character" w:styleId="WW8Num4z4">
    <w:name w:val="WW8Num4z4"/>
    <w:qFormat/>
    <w:rPr/>
  </w:style>
  <w:style w:type="character" w:styleId="WW8Num4z3">
    <w:name w:val="WW8Num4z3"/>
    <w:qFormat/>
    <w:rPr/>
  </w:style>
  <w:style w:type="character" w:styleId="WW8Num4z2">
    <w:name w:val="WW8Num4z2"/>
    <w:qFormat/>
    <w:rPr/>
  </w:style>
  <w:style w:type="character" w:styleId="WW8Num4z1">
    <w:name w:val="WW8Num4z1"/>
    <w:qFormat/>
    <w:rPr/>
  </w:style>
  <w:style w:type="character" w:styleId="WW8Num3z8">
    <w:name w:val="WW8Num3z8"/>
    <w:qFormat/>
    <w:rPr/>
  </w:style>
  <w:style w:type="character" w:styleId="WW8Num3z7">
    <w:name w:val="WW8Num3z7"/>
    <w:qFormat/>
    <w:rPr/>
  </w:style>
  <w:style w:type="character" w:styleId="WW8Num3z6">
    <w:name w:val="WW8Num3z6"/>
    <w:qFormat/>
    <w:rPr/>
  </w:style>
  <w:style w:type="character" w:styleId="WW8Num3z5">
    <w:name w:val="WW8Num3z5"/>
    <w:qFormat/>
    <w:rPr/>
  </w:style>
  <w:style w:type="character" w:styleId="WW8Num3z4">
    <w:name w:val="WW8Num3z4"/>
    <w:qFormat/>
    <w:rPr/>
  </w:style>
  <w:style w:type="character" w:styleId="WW8Num3z3">
    <w:name w:val="WW8Num3z3"/>
    <w:qFormat/>
    <w:rPr/>
  </w:style>
  <w:style w:type="character" w:styleId="WW8Num3z2">
    <w:name w:val="WW8Num3z2"/>
    <w:qForma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Ttulo4">
    <w:name w:val="Título4"/>
    <w:basedOn w:val="Normal"/>
    <w:next w:val="BodyText"/>
    <w:qFormat/>
    <w:pPr>
      <w:keepNext w:val="true"/>
      <w:spacing w:before="240" w:after="120"/>
    </w:pPr>
    <w:rPr>
      <w:rFonts w:ascii="Liberation Sans" w:hAnsi="Liberation Sans" w:eastAsia="Microsoft YaHei" w:cs="Arial"/>
      <w:sz w:val="28"/>
      <w:szCs w:val="28"/>
    </w:rPr>
  </w:style>
  <w:style w:type="paragraph" w:styleId="Ttulo3">
    <w:name w:val="Título3"/>
    <w:basedOn w:val="Normal"/>
    <w:next w:val="BodyText"/>
    <w:qFormat/>
    <w:pPr>
      <w:keepNext w:val="true"/>
      <w:spacing w:before="240" w:after="120"/>
    </w:pPr>
    <w:rPr>
      <w:rFonts w:ascii="Liberation Sans" w:hAnsi="Liberation Sans" w:eastAsia="Microsoft YaHei" w:cs="Arial"/>
      <w:sz w:val="28"/>
      <w:szCs w:val="28"/>
    </w:rPr>
  </w:style>
  <w:style w:type="paragraph" w:styleId="Ttulo2">
    <w:name w:val="Título2"/>
    <w:basedOn w:val="Normal"/>
    <w:next w:val="BodyText"/>
    <w:qFormat/>
    <w:pPr>
      <w:keepNext w:val="true"/>
      <w:spacing w:before="240" w:after="120"/>
    </w:pPr>
    <w:rPr>
      <w:rFonts w:ascii="Liberation Sans" w:hAnsi="Liberation Sans" w:eastAsia="Microsoft YaHei" w:cs="Arial"/>
      <w:sz w:val="28"/>
      <w:szCs w:val="28"/>
    </w:rPr>
  </w:style>
  <w:style w:type="paragraph" w:styleId="Ttulo1">
    <w:name w:val="Título1"/>
    <w:basedOn w:val="Normal"/>
    <w:next w:val="BodyText"/>
    <w:qFormat/>
    <w:pPr>
      <w:keepNext w:val="true"/>
      <w:spacing w:before="240" w:after="120"/>
    </w:pPr>
    <w:rPr>
      <w:rFonts w:ascii="Liberation Sans" w:hAnsi="Liberation Sans" w:eastAsia="Microsoft YaHei" w:cs="Mangal"/>
      <w:sz w:val="28"/>
      <w:szCs w:val="28"/>
    </w:rPr>
  </w:style>
  <w:style w:type="paragraph" w:styleId="Subtitle">
    <w:name w:val="Subtitle"/>
    <w:basedOn w:val="Normal"/>
    <w:next w:val="BodyText"/>
    <w:qFormat/>
    <w:pPr>
      <w:overflowPunct w:val="true"/>
      <w:autoSpaceDE w:val="true"/>
      <w:ind w:firstLine="708" w:left="0" w:right="0"/>
      <w:jc w:val="center"/>
      <w:textAlignment w:val="auto"/>
    </w:pPr>
    <w:rPr>
      <w:smallCaps/>
      <w:shadow/>
      <w:sz w:val="36"/>
      <w:szCs w:val="24"/>
      <w:lang w:val="pt-BR"/>
    </w:rPr>
  </w:style>
  <w:style w:type="paragraph" w:styleId="Corpodetexto31">
    <w:name w:val="Corpo de texto 31"/>
    <w:basedOn w:val="Normal"/>
    <w:qFormat/>
    <w:pPr>
      <w:tabs>
        <w:tab w:val="clear" w:pos="709"/>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jc w:val="both"/>
    </w:pPr>
    <w:rPr>
      <w:rFonts w:ascii="Arial" w:hAnsi="Arial" w:cs="Arial"/>
      <w:lang w:val="pt-BR"/>
    </w:rPr>
  </w:style>
  <w:style w:type="paragraph" w:styleId="BodyText2">
    <w:name w:val="Body Text 2"/>
    <w:basedOn w:val="Normal"/>
    <w:qFormat/>
    <w:pPr>
      <w:widowControl w:val="false"/>
      <w:spacing w:lineRule="auto" w:line="360"/>
      <w:ind w:firstLine="239" w:left="0" w:right="0"/>
      <w:jc w:val="both"/>
    </w:pPr>
    <w:rPr>
      <w:sz w:val="22"/>
    </w:rPr>
  </w:style>
  <w:style w:type="paragraph" w:styleId="Corpodetexto1">
    <w:name w:val="Corpo de texto1"/>
    <w:basedOn w:val="Normal"/>
    <w:qFormat/>
    <w:pPr>
      <w:spacing w:before="0" w:after="120"/>
    </w:pPr>
    <w:rPr>
      <w:lang w:val="pt-BR"/>
    </w:rPr>
  </w:style>
  <w:style w:type="paragraph" w:styleId="Corpodetexto22">
    <w:name w:val="Corpo de texto 22"/>
    <w:basedOn w:val="Normal"/>
    <w:qFormat/>
    <w:pPr>
      <w:tabs>
        <w:tab w:val="clear" w:pos="709"/>
        <w:tab w:val="left" w:pos="851" w:leader="none"/>
      </w:tabs>
      <w:jc w:val="both"/>
    </w:pPr>
    <w:rPr>
      <w:rFonts w:ascii="Arial" w:hAnsi="Arial" w:cs="Arial"/>
      <w:b/>
      <w:lang w:val="pt-BR"/>
    </w:rPr>
  </w:style>
  <w:style w:type="paragraph" w:styleId="Recuodecorpodetexto31">
    <w:name w:val="Recuo de corpo de texto 31"/>
    <w:basedOn w:val="Normal"/>
    <w:qFormat/>
    <w:pPr>
      <w:spacing w:before="0" w:after="120"/>
      <w:ind w:hanging="0" w:left="283" w:right="0"/>
    </w:pPr>
    <w:rPr>
      <w:sz w:val="16"/>
      <w:szCs w:val="16"/>
      <w:lang w:val="pt-BR"/>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Cabealhoerodap1">
    <w:name w:val="Cabeçalho e rodapé1"/>
    <w:basedOn w:val="Normal"/>
    <w:qFormat/>
    <w:pPr>
      <w:suppressLineNumbers/>
      <w:tabs>
        <w:tab w:val="clear" w:pos="709"/>
        <w:tab w:val="center" w:pos="4819" w:leader="none"/>
        <w:tab w:val="right" w:pos="9638" w:leader="none"/>
      </w:tabs>
    </w:pPr>
    <w:rPr/>
  </w:style>
  <w:style w:type="paragraph" w:styleId="Header">
    <w:name w:val="Header"/>
    <w:basedOn w:val="Normal"/>
    <w:pPr>
      <w:suppressLineNumbers/>
      <w:tabs>
        <w:tab w:val="clear" w:pos="709"/>
        <w:tab w:val="center" w:pos="4819" w:leader="none"/>
        <w:tab w:val="right" w:pos="9638" w:leader="none"/>
      </w:tabs>
    </w:pPr>
    <w:rPr/>
  </w:style>
  <w:style w:type="paragraph" w:styleId="ListParagraph">
    <w:name w:val="List Paragraph"/>
    <w:basedOn w:val="Normal"/>
    <w:qFormat/>
    <w:pPr>
      <w:spacing w:lineRule="auto" w:line="276" w:before="0" w:after="200"/>
      <w:ind w:hanging="0" w:left="720" w:right="0"/>
    </w:pPr>
    <w:rPr>
      <w:rFonts w:ascii="Calibri" w:hAnsi="Calibri" w:eastAsia="Calibri" w:cs="Calibri"/>
      <w:sz w:val="22"/>
      <w:szCs w:val="22"/>
    </w:rPr>
  </w:style>
  <w:style w:type="paragraph" w:styleId="Corpodetexto32">
    <w:name w:val="Corpo de texto 32"/>
    <w:basedOn w:val="Normal"/>
    <w:qFormat/>
    <w:pPr>
      <w:tabs>
        <w:tab w:val="clear" w:pos="709"/>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jc w:val="both"/>
      <w:textAlignment w:val="auto"/>
    </w:pPr>
    <w:rPr>
      <w:rFonts w:ascii="Arial" w:hAnsi="Arial" w:eastAsia="Arial" w:cs="Arial"/>
      <w:sz w:val="22"/>
    </w:rPr>
  </w:style>
  <w:style w:type="paragraph" w:styleId="Default">
    <w:name w:val="Default"/>
    <w:qFormat/>
    <w:pPr>
      <w:widowControl/>
      <w:suppressAutoHyphens w:val="true"/>
      <w:bidi w:val="0"/>
    </w:pPr>
    <w:rPr>
      <w:rFonts w:ascii="Arial" w:hAnsi="Arial" w:eastAsia="Arial" w:cs="Liberation Serif"/>
      <w:color w:val="000000"/>
      <w:kern w:val="2"/>
      <w:sz w:val="24"/>
      <w:szCs w:val="24"/>
      <w:lang w:val="pt-BR" w:eastAsia="zh-CN" w:bidi="hi-IN"/>
    </w:rPr>
  </w:style>
  <w:style w:type="paragraph" w:styleId="Contedodetabela">
    <w:name w:val="Conteúdo de tabela"/>
    <w:basedOn w:val="Normal"/>
    <w:qFormat/>
    <w:pPr>
      <w:textAlignment w:val="auto"/>
    </w:pPr>
    <w:rPr/>
  </w:style>
  <w:style w:type="paragraph" w:styleId="Textodocorpo2">
    <w:name w:val="Texto do corpo (2)"/>
    <w:basedOn w:val="Normal"/>
    <w:qFormat/>
    <w:pPr>
      <w:widowControl w:val="false"/>
      <w:shd w:fill="FFFFFF" w:val="clear"/>
      <w:spacing w:lineRule="atLeast" w:line="0" w:before="360" w:after="0"/>
      <w:jc w:val="right"/>
      <w:textAlignment w:val="auto"/>
    </w:pPr>
    <w:rPr>
      <w:rFonts w:ascii="Arial" w:hAnsi="Arial" w:eastAsia="Arial" w:cs="Arial"/>
      <w:i/>
      <w:iCs/>
      <w:sz w:val="21"/>
      <w:szCs w:val="21"/>
    </w:rPr>
  </w:style>
  <w:style w:type="paragraph" w:styleId="Textodebalo">
    <w:name w:val="Texto de balão"/>
    <w:basedOn w:val="Normal"/>
    <w:qFormat/>
    <w:pPr/>
    <w:rPr>
      <w:rFonts w:ascii="Tahoma" w:hAnsi="Tahoma" w:eastAsia="Tahoma" w:cs="Tahoma"/>
      <w:sz w:val="16"/>
      <w:szCs w:val="16"/>
    </w:rPr>
  </w:style>
  <w:style w:type="paragraph" w:styleId="Assuntodocomentrio">
    <w:name w:val="Assunto do comentário"/>
    <w:qFormat/>
    <w:pPr>
      <w:widowControl w:val="false"/>
      <w:suppressAutoHyphens w:val="true"/>
      <w:bidi w:val="0"/>
    </w:pPr>
    <w:rPr>
      <w:rFonts w:ascii="Liberation Serif" w:hAnsi="Liberation Serif" w:eastAsia="NSimSun" w:cs="Arial"/>
      <w:b/>
      <w:color w:val="auto"/>
      <w:sz w:val="24"/>
      <w:szCs w:val="24"/>
      <w:lang w:val="pt-BR" w:eastAsia="zh-CN" w:bidi="hi-IN"/>
    </w:rPr>
  </w:style>
  <w:style w:type="paragraph" w:styleId="Textodecomentrio1">
    <w:name w:val="Texto de comentário1"/>
    <w:basedOn w:val="Normal"/>
    <w:qFormat/>
    <w:pPr/>
    <w:rPr/>
  </w:style>
  <w:style w:type="paragraph" w:styleId="WW-Corpodetexto2">
    <w:name w:val="WW-Corpo de texto 2"/>
    <w:basedOn w:val="Normal"/>
    <w:qFormat/>
    <w:pPr>
      <w:widowControl w:val="false"/>
      <w:jc w:val="both"/>
      <w:textAlignment w:val="auto"/>
    </w:pPr>
    <w:rPr>
      <w:rFonts w:ascii="Arial" w:hAnsi="Arial" w:eastAsia="Arial" w:cs="Arial"/>
      <w:color w:val="000000"/>
    </w:rPr>
  </w:style>
  <w:style w:type="paragraph" w:styleId="Corpodetexto21">
    <w:name w:val="Corpo de texto 21"/>
    <w:basedOn w:val="Normal"/>
    <w:qFormat/>
    <w:pPr>
      <w:widowControl w:val="false"/>
      <w:spacing w:lineRule="auto" w:line="360"/>
      <w:ind w:firstLine="239" w:left="0" w:right="0"/>
      <w:jc w:val="both"/>
    </w:pPr>
    <w:rPr>
      <w:sz w:val="22"/>
    </w:rPr>
  </w:style>
  <w:style w:type="paragraph" w:styleId="PargrafodaLista">
    <w:name w:val="Parágrafo da Lista"/>
    <w:basedOn w:val="Normal"/>
    <w:qFormat/>
    <w:pPr>
      <w:spacing w:lineRule="auto" w:line="276" w:before="0" w:after="200"/>
      <w:ind w:hanging="0" w:left="720" w:right="0"/>
      <w:contextualSpacing/>
      <w:textAlignment w:val="auto"/>
    </w:pPr>
    <w:rPr>
      <w:rFonts w:ascii="Calibri" w:hAnsi="Calibri" w:eastAsia="Calibri" w:cs="Calibri"/>
      <w:sz w:val="22"/>
      <w:szCs w:val="22"/>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saogabriel.es.gov.br/" TargetMode="External"/><Relationship Id="rId3" Type="http://schemas.openxmlformats.org/officeDocument/2006/relationships/hyperlink" Target="mailto:licitacao@saogabriel.es.gov.br" TargetMode="External"/><Relationship Id="rId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Normal_x0000_</Template>
  <TotalTime>92</TotalTime>
  <Application>LibreOffice/24.2.6.2$Windows_X86_64 LibreOffice_project/ef66aa7e36a1bb8e65bfbc63aba53045a14d0871</Application>
  <AppVersion>15.0000</AppVersion>
  <Pages>12</Pages>
  <Words>5582</Words>
  <Characters>31265</Characters>
  <CharactersWithSpaces>36724</CharactersWithSpaces>
  <Paragraphs>202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2022-12-21T15:31:00Z</dcterms:created>
  <dc:creator/>
  <dc:description/>
  <cp:keywords/>
  <dc:language>pt-BR</dc:language>
  <cp:lastModifiedBy/>
  <cp:lastPrinted>2023-12-26T14:02:00Z</cp:lastPrinted>
  <dcterms:modified xsi:type="dcterms:W3CDTF">2025-02-11T14:00:43Z</dcterms:modified>
  <cp:revision>5</cp:revision>
  <dc:subject/>
  <dc:title/>
</cp:coreProperties>
</file>